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2D5BFF" w:sz="6" w:space="1"/>
        </w:pBdr>
        <w:spacing w:after="40"/>
      </w:pPr>
      <w:r>
        <w:rPr>
          <w:rFonts w:ascii="Arial" w:cs="Arial" w:eastAsia="Arial" w:hAnsi="Arial"/>
          <w:b/>
          <w:bCs/>
          <w:color w:val="2D5BFF"/>
          <w:sz w:val="18"/>
          <w:szCs w:val="18"/>
        </w:rPr>
        <w:t xml:space="preserve">UCCA — CONFIDENTIAL</w:t>
      </w:r>
      <w:r>
        <w:rPr>
          <w:rFonts w:ascii="Arial" w:cs="Arial" w:eastAsia="Arial" w:hAnsi="Arial"/>
          <w:color w:val="888888"/>
          <w:sz w:val="18"/>
          <w:szCs w:val="18"/>
        </w:rPr>
        <w:t xml:space="preserve">   ·   Internal Strategic Document</w:t>
      </w:r>
    </w:p>
    <w:p>
      <w:pPr>
        <w:spacing w:before="40" w:after="0"/>
      </w:pPr>
    </w:p>
    <w:p>
      <w:pPr>
        <w:pStyle w:val="Heading1"/>
      </w:pPr>
      <w:r>
        <w:rPr>
          <w:rFonts w:ascii="Arial" w:cs="Arial" w:eastAsia="Arial" w:hAnsi="Arial"/>
          <w:b/>
          <w:bCs/>
          <w:color w:val="0A0A0A"/>
          <w:sz w:val="48"/>
          <w:szCs w:val="48"/>
        </w:rPr>
        <w:t xml:space="preserve">The UCCO</w:t>
      </w:r>
    </w:p>
    <w:p>
      <w:pPr>
        <w:spacing w:before="0" w:after="320"/>
      </w:pPr>
      <w:r>
        <w:rPr>
          <w:rFonts w:ascii="Arial" w:cs="Arial" w:eastAsia="Arial" w:hAnsi="Arial"/>
          <w:b/>
          <w:bCs/>
          <w:color w:val="2D5BFF"/>
          <w:sz w:val="28"/>
          <w:szCs w:val="28"/>
        </w:rPr>
        <w:t xml:space="preserve">Universal Credentialling and Compliance Object</w:t>
      </w:r>
      <w:r>
        <w:rPr>
          <w:rFonts w:ascii="Arial" w:cs="Arial" w:eastAsia="Arial" w:hAnsi="Arial"/>
          <w:color w:val="888888"/>
          <w:sz w:val="20"/>
          <w:szCs w:val="20"/>
        </w:rPr>
        <w:t xml:space="preserve">   ·   Canonical Statement v1.1   ·   2026-03-07</w:t>
      </w:r>
    </w:p>
    <w:p>
      <w:pPr>
        <w:pBdr>
          <w:bottom w:val="single" w:color="DDDDDD" w:sz="2" w:space="1"/>
        </w:pBdr>
        <w:spacing w:before="0" w:after="320"/>
      </w:pPr>
    </w:p>
    <w:p>
      <w:pPr>
        <w:pStyle w:val="Heading2"/>
      </w:pPr>
      <w:r>
        <w:rPr>
          <w:rFonts w:ascii="Arial" w:cs="Arial" w:eastAsia="Arial" w:hAnsi="Arial"/>
          <w:b/>
          <w:bCs/>
          <w:color w:val="2D5BFF"/>
          <w:sz w:val="26"/>
          <w:szCs w:val="26"/>
        </w:rPr>
        <w:t xml:space="preserve">The Distinction</w:t>
      </w:r>
    </w:p>
    <w:p>
      <w:pPr>
        <w:spacing w:before="0" w:after="200"/>
      </w:pPr>
      <w:r>
        <w:rPr>
          <w:rFonts w:ascii="Arial" w:cs="Arial" w:eastAsia="Arial" w:hAnsi="Arial"/>
          <w:sz w:val="24"/>
          <w:szCs w:val="24"/>
        </w:rPr>
        <w:t xml:space="preserve">A credential answers the question: </w:t>
      </w:r>
      <w:r>
        <w:rPr>
          <w:rFonts w:ascii="Arial" w:cs="Arial" w:eastAsia="Arial" w:hAnsi="Arial"/>
          <w:i/>
          <w:iCs/>
          <w:sz w:val="24"/>
          <w:szCs w:val="24"/>
        </w:rPr>
        <w:t xml:space="preserve">what does this entity know?</w:t>
      </w:r>
    </w:p>
    <w:p>
      <w:pPr>
        <w:spacing w:before="0" w:after="320"/>
      </w:pPr>
      <w:r>
        <w:rPr>
          <w:rFonts w:ascii="Arial" w:cs="Arial" w:eastAsia="Arial" w:hAnsi="Arial"/>
          <w:sz w:val="24"/>
          <w:szCs w:val="24"/>
        </w:rPr>
        <w:t xml:space="preserve">A UCCO answers the question: </w:t>
      </w:r>
      <w:r>
        <w:rPr>
          <w:rFonts w:ascii="Arial" w:cs="Arial" w:eastAsia="Arial" w:hAnsi="Arial"/>
          <w:i/>
          <w:iCs/>
          <w:sz w:val="24"/>
          <w:szCs w:val="24"/>
        </w:rPr>
        <w:t xml:space="preserve">is this entity certified to act?</w:t>
      </w:r>
    </w:p>
    <w:p>
      <w:pPr>
        <w:pStyle w:val="Heading2"/>
      </w:pPr>
      <w:r>
        <w:rPr>
          <w:rFonts w:ascii="Arial" w:cs="Arial" w:eastAsia="Arial" w:hAnsi="Arial"/>
          <w:b/>
          <w:bCs/>
          <w:color w:val="2D5BFF"/>
          <w:sz w:val="26"/>
          <w:szCs w:val="26"/>
        </w:rPr>
        <w:t xml:space="preserve">Canonical Statement</w:t>
      </w:r>
    </w:p>
    <w:p>
      <w:pPr>
        <w:spacing w:before="0" w:after="200"/>
      </w:pPr>
      <w:r>
        <w:rPr>
          <w:rFonts w:ascii="Arial" w:cs="Arial" w:eastAsia="Arial" w:hAnsi="Arial"/>
          <w:sz w:val="24"/>
          <w:szCs w:val="24"/>
        </w:rPr>
        <w:t xml:space="preserve">The distinction is the foundation of the UCCA platform. Knowledge without authorisation is inert. In human systems, the gap between knowing and acting is managed by institutional trust — a licence, a registration, a certificate. In agentic systems, that gap has no manager. An AI agent may possess complete knowledge of a procedure and remain unauthorised to execute it under the governing regulatory instrument.</w:t>
      </w:r>
    </w:p>
    <w:p>
      <w:pPr>
        <w:spacing w:before="0" w:after="200"/>
      </w:pPr>
      <w:r>
        <w:rPr>
          <w:rFonts w:ascii="Arial" w:cs="Arial" w:eastAsia="Arial" w:hAnsi="Arial"/>
          <w:sz w:val="24"/>
          <w:szCs w:val="24"/>
        </w:rPr>
        <w:t xml:space="preserve">The UCCO closes that gap. It is a deterministic, versioned, hashed object that binds a defined capability to a specific legislative instrument, at a specific point in time, for a specific entity — human or machine. It is not issued by UCCA. It is </w:t>
      </w:r>
      <w:r>
        <w:rPr>
          <w:rFonts w:ascii="Arial" w:cs="Arial" w:eastAsia="Arial" w:hAnsi="Arial"/>
          <w:i/>
          <w:iCs/>
          <w:sz w:val="24"/>
          <w:szCs w:val="24"/>
        </w:rPr>
        <w:t xml:space="preserve">derived</w:t>
      </w:r>
      <w:r>
        <w:rPr>
          <w:rFonts w:ascii="Arial" w:cs="Arial" w:eastAsia="Arial" w:hAnsi="Arial"/>
          <w:sz w:val="24"/>
          <w:szCs w:val="24"/>
        </w:rPr>
        <w:t xml:space="preserve"> by UCCA from the legislative instrument itself, making the instrument — not the platform — the source of authority.</w:t>
      </w:r>
    </w:p>
    <w:p>
      <w:pPr>
        <w:spacing w:before="0" w:after="320"/>
      </w:pPr>
      <w:r>
        <w:rPr>
          <w:rFonts w:ascii="Arial" w:cs="Arial" w:eastAsia="Arial" w:hAnsi="Arial"/>
          <w:sz w:val="24"/>
          <w:szCs w:val="24"/>
        </w:rPr>
        <w:t xml:space="preserve">This makes the UCCO the primitive unit of the agentic compliance economy. Every regulated AI deployment — in healthcare, aviation, defence, laboratories, finance, education — requires a mechanism to certify not capability, but </w:t>
      </w:r>
      <w:r>
        <w:rPr>
          <w:rFonts w:ascii="Arial" w:cs="Arial" w:eastAsia="Arial" w:hAnsi="Arial"/>
          <w:i/>
          <w:iCs/>
          <w:sz w:val="24"/>
          <w:szCs w:val="24"/>
        </w:rPr>
        <w:t xml:space="preserve">authorised action</w:t>
      </w:r>
      <w:r>
        <w:rPr>
          <w:rFonts w:ascii="Arial" w:cs="Arial" w:eastAsia="Arial" w:hAnsi="Arial"/>
          <w:sz w:val="24"/>
          <w:szCs w:val="24"/>
        </w:rPr>
        <w:t xml:space="preserve">. The UCCO is that mechanism.</w:t>
      </w:r>
    </w:p>
    <w:p>
      <w:pPr>
        <w:pStyle w:val="Heading2"/>
      </w:pPr>
      <w:r>
        <w:rPr>
          <w:rFonts w:ascii="Arial" w:cs="Arial" w:eastAsia="Arial" w:hAnsi="Arial"/>
          <w:b/>
          <w:bCs/>
          <w:color w:val="2D5BFF"/>
          <w:sz w:val="26"/>
          <w:szCs w:val="26"/>
        </w:rPr>
        <w:t xml:space="preserve">The Architecture</w:t>
      </w:r>
    </w:p>
    <w:p>
      <w:pPr>
        <w:spacing w:before="0" w:after="320"/>
      </w:pPr>
      <w:r>
        <w:rPr>
          <w:rFonts w:ascii="Arial" w:cs="Arial" w:eastAsia="Arial" w:hAnsi="Arial"/>
          <w:b/>
          <w:bCs/>
          <w:sz w:val="24"/>
          <w:szCs w:val="24"/>
        </w:rPr>
        <w:t xml:space="preserve">UCCA creates UCCOs.   </w:t>
      </w:r>
      <w:r>
        <w:rPr>
          <w:rFonts w:ascii="Arial" w:cs="Arial" w:eastAsia="Arial" w:hAnsi="Arial"/>
          <w:b/>
          <w:bCs/>
          <w:sz w:val="24"/>
          <w:szCs w:val="24"/>
        </w:rPr>
        <w:t xml:space="preserve">Worlds deliver them.   </w:t>
      </w:r>
      <w:r>
        <w:rPr>
          <w:rFonts w:ascii="Arial" w:cs="Arial" w:eastAsia="Arial" w:hAnsi="Arial"/>
          <w:b/>
          <w:bCs/>
          <w:sz w:val="24"/>
          <w:szCs w:val="24"/>
        </w:rPr>
        <w:t xml:space="preserve">Agents consume them.   </w:t>
      </w:r>
      <w:r>
        <w:rPr>
          <w:rFonts w:ascii="Arial" w:cs="Arial" w:eastAsia="Arial" w:hAnsi="Arial"/>
          <w:b/>
          <w:bCs/>
          <w:sz w:val="24"/>
          <w:szCs w:val="24"/>
        </w:rPr>
        <w:t xml:space="preserve">The record is immutable.</w:t>
      </w:r>
    </w:p>
    <w:p>
      <w:pPr>
        <w:pStyle w:val="Heading2"/>
      </w:pPr>
      <w:r>
        <w:rPr>
          <w:rFonts w:ascii="Arial" w:cs="Arial" w:eastAsia="Arial" w:hAnsi="Arial"/>
          <w:b/>
          <w:bCs/>
          <w:color w:val="2D5BFF"/>
          <w:sz w:val="26"/>
          <w:szCs w:val="26"/>
        </w:rPr>
        <w:t xml:space="preserve">The Engine's Role — Shape Validator, Not Compliance Officer</w:t>
      </w:r>
    </w:p>
    <w:p>
      <w:pPr>
        <w:spacing w:before="0" w:after="200"/>
      </w:pPr>
      <w:r>
        <w:rPr>
          <w:rFonts w:ascii="Arial" w:cs="Arial" w:eastAsia="Arial" w:hAnsi="Arial"/>
          <w:b/>
          <w:bCs/>
          <w:sz w:val="24"/>
          <w:szCs w:val="24"/>
        </w:rPr>
        <w:t xml:space="preserve">The engine at L1 is not a compliance system. It is a shape validator.</w:t>
      </w:r>
    </w:p>
    <w:p>
      <w:pPr>
        <w:spacing w:before="0" w:after="200"/>
      </w:pPr>
      <w:r>
        <w:rPr>
          <w:rFonts w:ascii="Arial" w:cs="Arial" w:eastAsia="Arial" w:hAnsi="Arial"/>
          <w:sz w:val="24"/>
          <w:szCs w:val="24"/>
        </w:rPr>
        <w:t xml:space="preserve">The UCCO defines what a compliant object looks like — its shape. When a world presents data back to the engine, the engine checks that shape and returns one of two responses: pass, or reject and try again. That is the full extent of the engine's compliance role. It does not make a world compliant. It cannot. Compliance belongs to the client — their world, their primitives, their responsibility.</w:t>
      </w:r>
    </w:p>
    <w:p>
      <w:pPr>
        <w:spacing w:before="0" w:after="200"/>
      </w:pPr>
      <w:r>
        <w:rPr>
          <w:rFonts w:ascii="Arial" w:cs="Arial" w:eastAsia="Arial" w:hAnsi="Arial"/>
          <w:sz w:val="24"/>
          <w:szCs w:val="24"/>
        </w:rPr>
        <w:t xml:space="preserve">This is a filter at the gate. Data does not flow into the engine freely. Every submission passes through the shape validator on entry. A structurally non-conforming object is rejected before it can corrupt the record. What passes through is sound by definition. This is deterministic compliance — not probabilistic, not AI-inferred, deterministic.</w:t>
      </w:r>
    </w:p>
    <w:p>
      <w:pPr>
        <w:spacing w:before="0" w:after="320"/>
      </w:pPr>
      <w:r>
        <w:rPr>
          <w:rFonts w:ascii="Arial" w:cs="Arial" w:eastAsia="Arial" w:hAnsi="Arial"/>
          <w:sz w:val="24"/>
          <w:szCs w:val="24"/>
        </w:rPr>
        <w:t xml:space="preserve">RTOpacks is the proof of concept. RTOpacks holds world-level primitives — TGA taxonomy, qualification codes, unit mappings, RTO registrations. These live in the RTOpacks world at L1, not in the engine. The engine does not know what a Certificate IV in Project Management is. RTOpacks knows. The engine knows only whether the shape is right. Shape check. Pass or reject. That is the gate.</w:t>
      </w:r>
    </w:p>
    <w:p>
      <w:pPr>
        <w:pStyle w:val="Heading2"/>
      </w:pPr>
      <w:r>
        <w:rPr>
          <w:rFonts w:ascii="Arial" w:cs="Arial" w:eastAsia="Arial" w:hAnsi="Arial"/>
          <w:b/>
          <w:bCs/>
          <w:color w:val="2D5BFF"/>
          <w:sz w:val="26"/>
          <w:szCs w:val="26"/>
        </w:rPr>
        <w:t xml:space="preserve">UCCA Certification Policy — Root vs World</w:t>
      </w:r>
    </w:p>
    <w:p>
      <w:pPr>
        <w:spacing w:before="0" w:after="200"/>
      </w:pPr>
      <w:r>
        <w:rPr>
          <w:rFonts w:ascii="Arial" w:cs="Arial" w:eastAsia="Arial" w:hAnsi="Arial"/>
          <w:sz w:val="24"/>
          <w:szCs w:val="24"/>
        </w:rPr>
        <w:t xml:space="preserve">UCCA maintains certifications at the platform root where they provide collective value across the entire customer base. Global standards — SOC 2, ISO 27001, FedRAMP, ASDEFCON, GoBD — are root certifications. Every client inherits them by building on UCCA.</w:t>
      </w:r>
    </w:p>
    <w:p>
      <w:pPr>
        <w:spacing w:before="0" w:after="200"/>
      </w:pPr>
      <w:r>
        <w:rPr>
          <w:rFonts w:ascii="Arial" w:cs="Arial" w:eastAsia="Arial" w:hAnsi="Arial"/>
          <w:sz w:val="24"/>
          <w:szCs w:val="24"/>
        </w:rPr>
        <w:t xml:space="preserve">Client-specific standards live in the client's world. The client owns them, maintains them, polices them. UCCA provides the engine and the primitives. Compliance to the client's specific regulatory instrument is the client's responsibility — and their competitive advantage.</w:t>
      </w:r>
    </w:p>
    <w:p>
      <w:pPr>
        <w:spacing w:before="0" w:after="320"/>
      </w:pPr>
      <w:r>
        <w:rPr>
          <w:rFonts w:ascii="Arial" w:cs="Arial" w:eastAsia="Arial" w:hAnsi="Arial"/>
          <w:sz w:val="24"/>
          <w:szCs w:val="24"/>
        </w:rPr>
        <w:t xml:space="preserve">UCCA adds a standard at root only when it sees collective value across the customer base. That decision is made by UCCA. A client who wishes to fund a root-level certification for collective benefit enters an enterprise partner conversation.</w:t>
      </w:r>
    </w:p>
    <w:p>
      <w:pPr>
        <w:pStyle w:val="Heading2"/>
      </w:pPr>
      <w:r>
        <w:rPr>
          <w:rFonts w:ascii="Arial" w:cs="Arial" w:eastAsia="Arial" w:hAnsi="Arial"/>
          <w:b/>
          <w:bCs/>
          <w:color w:val="2D5BFF"/>
          <w:sz w:val="26"/>
          <w:szCs w:val="26"/>
        </w:rPr>
        <w:t xml:space="preserve">The Agentic Imperative</w:t>
      </w:r>
    </w:p>
    <w:p>
      <w:pPr>
        <w:spacing w:before="0" w:after="320"/>
      </w:pPr>
      <w:r>
        <w:rPr>
          <w:rFonts w:ascii="Arial" w:cs="Arial" w:eastAsia="Arial" w:hAnsi="Arial"/>
          <w:sz w:val="24"/>
          <w:szCs w:val="24"/>
        </w:rPr>
        <w:t xml:space="preserve">For robots and AI agents, a credential is insufficient. Knowledge is not the gate — authorisation is. An agent must be certified to act in order to initiate, to execute, to be trusted with consequence. The UCCO is the enabler of that trust. Without it, capability is latent. With it, capability becomes licensed action — and licensed action is where economic value is created and where regulatory liability is managed.</w:t>
      </w:r>
    </w:p>
    <w:p>
      <w:pPr>
        <w:pBdr>
          <w:top w:val="single" w:color="DDDDDD" w:sz="2" w:space="1"/>
        </w:pBdr>
        <w:spacing w:before="400" w:after="0"/>
      </w:pPr>
      <w:r>
        <w:rPr>
          <w:rFonts w:ascii="Arial" w:cs="Arial" w:eastAsia="Arial" w:hAnsi="Arial"/>
          <w:color w:val="888888"/>
          <w:sz w:val="18"/>
          <w:szCs w:val="18"/>
        </w:rPr>
        <w:t xml:space="preserve">UCCA — Universal Capability Certification Authority   ·   ucca.online   ·   Confidential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0A0A0A"/>
      <w:sz w:val="40"/>
      <w:szCs w:val="40"/>
    </w:rPr>
  </w:style>
  <w:style w:type="paragraph" w:styleId="Heading2">
    <w:name w:val="Heading 2"/>
    <w:basedOn w:val="Normal"/>
    <w:next w:val="Normal"/>
    <w:qFormat/>
    <w:pPr>
      <w:spacing w:before="320" w:after="160"/>
      <w:outlineLvl w:val="1"/>
    </w:pPr>
    <w:rPr>
      <w:rFonts w:ascii="Arial" w:cs="Arial" w:eastAsia="Arial" w:hAnsi="Arial"/>
      <w:b/>
      <w:bCs/>
      <w:color w:val="2D5BFF"/>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2026-03-07T09:16:58.062Z</dcterms:created>
  <dcterms:modified xsi:type="dcterms:W3CDTF">2026-03-07T09:16:58.063Z</dcterms:modified>
</cp:coreProperties>
</file>

<file path=docProps/custom.xml><?xml version="1.0" encoding="utf-8"?>
<Properties xmlns="http://schemas.openxmlformats.org/officeDocument/2006/custom-properties" xmlns:vt="http://schemas.openxmlformats.org/officeDocument/2006/docPropsVTypes"/>
</file>