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880"/>
      </w:pPr>
      <w:r>
        <w:t xml:space="preserve"/>
      </w:r>
    </w:p>
    <w:p>
      <w:pPr>
        <w:spacing w:before="0" w:after="200"/>
        <w:jc w:val="center"/>
      </w:pPr>
      <w:r>
        <w:rPr>
          <w:rFonts w:ascii="Arial" w:cs="Arial" w:eastAsia="Arial" w:hAnsi="Arial"/>
          <w:b/>
          <w:bCs/>
          <w:color w:val="0D1F3C"/>
          <w:sz w:val="96"/>
          <w:szCs w:val="96"/>
        </w:rPr>
        <w:t xml:space="preserve">UCCO</w:t>
      </w:r>
    </w:p>
    <w:p>
      <w:pPr>
        <w:spacing w:before="0" w:after="140"/>
        <w:jc w:val="center"/>
      </w:pPr>
      <w:r>
        <w:rPr>
          <w:rFonts w:ascii="Arial" w:cs="Arial" w:eastAsia="Arial" w:hAnsi="Arial"/>
          <w:color w:val="1A3A5C"/>
          <w:sz w:val="40"/>
          <w:szCs w:val="40"/>
        </w:rPr>
        <w:t xml:space="preserve">Universal Capability Chain Object</w:t>
      </w:r>
    </w:p>
    <w:p>
      <w:pPr>
        <w:pBdr>
          <w:bottom w:val="single" w:color="0D7377" w:sz="6" w:space="8"/>
        </w:pBdr>
        <w:spacing w:before="0" w:after="480"/>
        <w:jc w:val="center"/>
      </w:pPr>
      <w:r>
        <w:rPr>
          <w:rFonts w:ascii="Arial" w:cs="Arial" w:eastAsia="Arial" w:hAnsi="Arial"/>
          <w:color w:val="0D7377"/>
          <w:sz w:val="28"/>
          <w:szCs w:val="28"/>
        </w:rPr>
        <w:t xml:space="preserve">Open Standard Specification</w:t>
      </w:r>
    </w:p>
    <w:p>
      <w:pPr>
        <w:spacing w:before="200" w:after="200"/>
      </w:pPr>
      <w:r>
        <w:t xml:space="preserve"/>
      </w:r>
    </w:p>
    <w:p>
      <w:pPr>
        <w:spacing w:before="0" w:after="80"/>
        <w:jc w:val="center"/>
      </w:pPr>
      <w:r>
        <w:rPr>
          <w:rFonts w:ascii="Arial" w:cs="Arial" w:eastAsia="Arial" w:hAnsi="Arial"/>
          <w:color w:val="666666"/>
          <w:sz w:val="24"/>
          <w:szCs w:val="24"/>
        </w:rPr>
        <w:t xml:space="preserve">Version 1.1  ·  Draft for Public Comment</w:t>
      </w:r>
    </w:p>
    <w:p>
      <w:pPr>
        <w:spacing w:before="0" w:after="80"/>
        <w:jc w:val="center"/>
      </w:pPr>
      <w:r>
        <w:rPr>
          <w:rFonts w:ascii="Arial" w:cs="Arial" w:eastAsia="Arial" w:hAnsi="Arial"/>
          <w:color w:val="666666"/>
          <w:sz w:val="22"/>
          <w:szCs w:val="22"/>
        </w:rPr>
        <w:t xml:space="preserve">Published by UCCA Inc  ·  Universal Capability Certification Authority</w:t>
      </w:r>
    </w:p>
    <w:p>
      <w:pPr>
        <w:spacing w:before="0" w:after="80"/>
        <w:jc w:val="center"/>
      </w:pPr>
      <w:r>
        <w:rPr>
          <w:rFonts w:ascii="Arial" w:cs="Arial" w:eastAsia="Arial" w:hAnsi="Arial"/>
          <w:color w:val="666666"/>
          <w:sz w:val="22"/>
          <w:szCs w:val="22"/>
        </w:rPr>
        <w:t xml:space="preserve">1207 Delaware Ave #1678, Wilmington DE 19806</w:t>
      </w:r>
    </w:p>
    <w:p>
      <w:pPr>
        <w:spacing w:before="0" w:after="80"/>
        <w:jc w:val="center"/>
      </w:pPr>
      <w:r>
        <w:rPr>
          <w:rFonts w:ascii="Arial" w:cs="Arial" w:eastAsia="Arial" w:hAnsi="Arial"/>
          <w:color w:val="666666"/>
          <w:sz w:val="22"/>
          <w:szCs w:val="22"/>
        </w:rPr>
        <w:t xml:space="preserve">USPTO Reg. No. 7,619,705</w:t>
      </w:r>
    </w:p>
    <w:p>
      <w:pPr>
        <w:spacing w:before="400" w:after="0"/>
      </w:pPr>
      <w:r>
        <w:t xml:space="preserve"/>
      </w:r>
    </w:p>
    <w:p>
      <w:pPr>
        <w:spacing w:before="0" w:after="80"/>
        <w:jc w:val="center"/>
      </w:pPr>
      <w:r>
        <w:rPr>
          <w:rFonts w:ascii="Arial" w:cs="Arial" w:eastAsia="Arial" w:hAnsi="Arial"/>
          <w:i/>
          <w:iCs/>
          <w:color w:val="666666"/>
          <w:sz w:val="20"/>
          <w:szCs w:val="20"/>
        </w:rPr>
        <w:t xml:space="preserve">This document is an open specification published for comment and adoption by standards bodies including ISO, NIST, and W3C. Implementations are not restricted to UCCA infrastructure.</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Abstract</w:t>
      </w:r>
    </w:p>
    <w:p>
      <w:pPr>
        <w:spacing w:before="120" w:after="120"/>
        <w:jc w:val="left"/>
      </w:pPr>
      <w:r>
        <w:rPr>
          <w:rFonts w:ascii="Arial" w:cs="Arial" w:eastAsia="Arial" w:hAnsi="Arial"/>
          <w:b w:val="false"/>
          <w:bCs w:val="false"/>
          <w:i w:val="false"/>
          <w:iCs w:val="false"/>
          <w:color w:val="000000"/>
          <w:sz w:val="22"/>
          <w:szCs w:val="22"/>
        </w:rPr>
        <w:t xml:space="preserve">The Universal Capability Chain Object (UCCO) defines a portable, self-verifying chain structure for the cryptographic recording and verification of capability — the demonstrated, evidence-backed state of qualification to perform a specific act in a specific context.</w:t>
      </w:r>
    </w:p>
    <w:p>
      <w:pPr>
        <w:spacing w:before="120" w:after="120"/>
        <w:jc w:val="left"/>
      </w:pPr>
      <w:r>
        <w:rPr>
          <w:rFonts w:ascii="Arial" w:cs="Arial" w:eastAsia="Arial" w:hAnsi="Arial"/>
          <w:b w:val="false"/>
          <w:bCs w:val="false"/>
          <w:i w:val="false"/>
          <w:iCs w:val="false"/>
          <w:color w:val="000000"/>
          <w:sz w:val="22"/>
          <w:szCs w:val="22"/>
        </w:rPr>
        <w:t xml:space="preserve">UCCO applies to any actor type: natural persons, autonomous machines, software agents, and composite multi-actor workflows. The specification defines identity primitives, capability envelope schemas, chain event types, attestation models, and the supervision chain requirement that links every non-human actor to an accountable human authority.</w:t>
      </w:r>
    </w:p>
    <w:p>
      <w:pPr>
        <w:spacing w:before="120" w:after="120"/>
        <w:jc w:val="left"/>
      </w:pPr>
      <w:r>
        <w:rPr>
          <w:rFonts w:ascii="Arial" w:cs="Arial" w:eastAsia="Arial" w:hAnsi="Arial"/>
          <w:b w:val="false"/>
          <w:bCs w:val="false"/>
          <w:i w:val="false"/>
          <w:iCs w:val="false"/>
          <w:color w:val="000000"/>
          <w:sz w:val="22"/>
          <w:szCs w:val="22"/>
        </w:rPr>
        <w:t xml:space="preserve">UCCO enables cryptographically verifiable event triggers for machine-to-machine commerce, automated insurance underwriting, and dynamic liability transfer. The specification is platform-agnostic and defines what must be proven, how proof must be structured, and how proof persists after lawful destruction of underlying evidence.</w:t>
      </w:r>
    </w:p>
    <w:p>
      <w:pPr>
        <w:spacing w:before="120" w:after="120"/>
        <w:jc w:val="left"/>
      </w:pPr>
      <w:r>
        <w:rPr>
          <w:rFonts w:ascii="Arial" w:cs="Arial" w:eastAsia="Arial" w:hAnsi="Arial"/>
          <w:b w:val="false"/>
          <w:bCs w:val="false"/>
          <w:i w:val="false"/>
          <w:iCs w:val="false"/>
          <w:color w:val="000000"/>
          <w:sz w:val="22"/>
          <w:szCs w:val="22"/>
        </w:rPr>
        <w:t xml:space="preserve">This specification is submitted for adoption consideration to ISO TC 307 (Blockchain and Distributed Ledger Technologies), NIST National Cybersecurity Center of Excellence, and W3C Verifiable Credentials Working Group.</w:t>
      </w:r>
    </w:p>
    <w:p>
      <w:pPr>
        <w:spacing w:before="120" w:after="120"/>
      </w:pPr>
      <w:r>
        <w:t xml:space="preserve"/>
      </w:r>
    </w:p>
    <w:p>
      <w:pPr>
        <w:pStyle w:val="Heading2"/>
        <w:spacing w:before="280" w:after="120"/>
      </w:pPr>
      <w:r>
        <w:rPr>
          <w:rFonts w:ascii="Arial" w:cs="Arial" w:eastAsia="Arial" w:hAnsi="Arial"/>
          <w:b/>
          <w:bCs/>
          <w:color w:val="1A3A5C"/>
          <w:sz w:val="28"/>
          <w:szCs w:val="28"/>
        </w:rPr>
        <w:t xml:space="preserve">Status of This Document</w:t>
      </w:r>
    </w:p>
    <w:p>
      <w:pPr>
        <w:spacing w:before="120" w:after="120"/>
        <w:jc w:val="left"/>
      </w:pPr>
      <w:r>
        <w:rPr>
          <w:rFonts w:ascii="Arial" w:cs="Arial" w:eastAsia="Arial" w:hAnsi="Arial"/>
          <w:b w:val="false"/>
          <w:bCs w:val="false"/>
          <w:i w:val="false"/>
          <w:iCs w:val="false"/>
          <w:color w:val="000000"/>
          <w:sz w:val="22"/>
          <w:szCs w:val="22"/>
        </w:rPr>
        <w:t xml:space="preserve">Version 1.1 Draft for Public Comment. This version incorporates: Delegated Fleet Authority (DFA) for supervised machine fleets; AI context state binding; BBS+ selective disclosure on capability envelopes; Ephemeral Rollup architecture for high-volume non-human actors; revocation propagation protocol; and governance transition to a neutral foundation. Sections marked [STABLE] represent architecture deployed in production. Sections marked [DRAFT] are complete in concept and subject to implementation feedback.</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Governance and Foundation Transition</w:t>
      </w:r>
    </w:p>
    <w:p>
      <w:pPr>
        <w:spacing w:before="120" w:after="120"/>
        <w:jc w:val="left"/>
      </w:pPr>
      <w:r>
        <w:rPr>
          <w:rFonts w:ascii="Arial" w:cs="Arial" w:eastAsia="Arial" w:hAnsi="Arial"/>
          <w:b w:val="false"/>
          <w:bCs w:val="false"/>
          <w:i w:val="false"/>
          <w:iCs w:val="false"/>
          <w:color w:val="000000"/>
          <w:sz w:val="22"/>
          <w:szCs w:val="22"/>
        </w:rPr>
        <w:t xml:space="preserve">UCCA Inc. is the initial steward of this specification. It is the explicit intent of UCCA Inc. to transfer long-term governance and maintenance of the UCCO standard to a neutral, not-for-profit foundation — the UCCO Foundation or equivalent body established for that purpose.</w:t>
      </w:r>
    </w:p>
    <w:p>
      <w:pPr>
        <w:spacing w:before="120" w:after="120"/>
        <w:jc w:val="left"/>
      </w:pPr>
      <w:r>
        <w:rPr>
          <w:rFonts w:ascii="Arial" w:cs="Arial" w:eastAsia="Arial" w:hAnsi="Arial"/>
          <w:b w:val="false"/>
          <w:bCs w:val="false"/>
          <w:i w:val="false"/>
          <w:iCs w:val="false"/>
          <w:color w:val="000000"/>
          <w:sz w:val="22"/>
          <w:szCs w:val="22"/>
        </w:rPr>
        <w:t xml:space="preserve">The foundation will operate with open membership, multi-stakeholder board representation including industry participants, standards bodies, regulators, and civil society, and transparent decision-making processes consistent with international best practices for open standards governance.</w:t>
      </w:r>
    </w:p>
    <w:p>
      <w:pPr>
        <w:spacing w:before="120" w:after="120"/>
        <w:jc w:val="left"/>
      </w:pPr>
      <w:r>
        <w:rPr>
          <w:rFonts w:ascii="Arial" w:cs="Arial" w:eastAsia="Arial" w:hAnsi="Arial"/>
          <w:b w:val="false"/>
          <w:bCs w:val="false"/>
          <w:i w:val="false"/>
          <w:iCs w:val="false"/>
          <w:color w:val="000000"/>
          <w:sz w:val="22"/>
          <w:szCs w:val="22"/>
        </w:rPr>
        <w:t xml:space="preserve">This transition will ensure the specification remains free from single-entity control and can achieve the broadest possible adoption across regulated sectors globally.</w:t>
      </w:r>
    </w:p>
    <w:p>
      <w:pPr>
        <w:spacing w:before="120" w:after="120"/>
        <w:jc w:val="left"/>
      </w:pPr>
      <w:r>
        <w:rPr>
          <w:rFonts w:ascii="Arial" w:cs="Arial" w:eastAsia="Arial" w:hAnsi="Arial"/>
          <w:b w:val="false"/>
          <w:bCs w:val="false"/>
          <w:i w:val="false"/>
          <w:iCs w:val="false"/>
          <w:color w:val="000000"/>
          <w:sz w:val="22"/>
          <w:szCs w:val="22"/>
        </w:rPr>
        <w:t xml:space="preserve">Until the foundation is established, UCCA Inc. commits to: publishing all specification changes publicly with a minimum 60-day comment period; accepting written objections from any implementer; and maintaining a public issue tracker for the specification.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40"/>
              <w:left w:type="dxa" w:w="240"/>
              <w:bottom w:type="dxa" w:w="140"/>
              <w:right w:type="dxa" w:w="240"/>
            </w:tcMar>
          </w:tcPr>
          <w:p>
            <w:pPr>
              <w:spacing w:before="0" w:after="80"/>
            </w:pPr>
            <w:r>
              <w:rPr>
                <w:rFonts w:ascii="Arial" w:cs="Arial" w:eastAsia="Arial" w:hAnsi="Arial"/>
                <w:b/>
                <w:bCs/>
                <w:color w:val="0D7377"/>
                <w:sz w:val="22"/>
                <w:szCs w:val="22"/>
              </w:rPr>
              <w:t xml:space="preserve">Intellectual Property Rights</w:t>
            </w:r>
          </w:p>
          <w:p>
            <w:pPr>
              <w:spacing w:before="0" w:after="40"/>
            </w:pPr>
            <w:r>
              <w:rPr>
                <w:rFonts w:ascii="Arial" w:cs="Arial" w:eastAsia="Arial" w:hAnsi="Arial"/>
                <w:i w:val="false"/>
                <w:iCs w:val="false"/>
                <w:color w:val="000000"/>
                <w:sz w:val="21"/>
                <w:szCs w:val="21"/>
              </w:rPr>
              <w:t xml:space="preserve">UCCA Inc. asserts no essential patent claims for this specification.</w:t>
            </w:r>
          </w:p>
          <w:p>
            <w:pPr>
              <w:spacing w:before="0" w:after="40"/>
            </w:pPr>
            <w:r>
              <w:rPr>
                <w:rFonts w:ascii="Arial" w:cs="Arial" w:eastAsia="Arial" w:hAnsi="Arial"/>
                <w:i w:val="false"/>
                <w:iCs w:val="false"/>
                <w:color w:val="000000"/>
                <w:sz w:val="21"/>
                <w:szCs w:val="21"/>
              </w:rPr>
              <w:t xml:space="preserve">Implementers may use this specification under a perpetual, irrevocable, royalty-free license</w:t>
            </w:r>
          </w:p>
          <w:p>
            <w:pPr>
              <w:spacing w:before="0" w:after="40"/>
            </w:pPr>
            <w:r>
              <w:rPr>
                <w:rFonts w:ascii="Arial" w:cs="Arial" w:eastAsia="Arial" w:hAnsi="Arial"/>
                <w:i w:val="false"/>
                <w:iCs w:val="false"/>
                <w:color w:val="000000"/>
                <w:sz w:val="21"/>
                <w:szCs w:val="21"/>
              </w:rPr>
              <w:t xml:space="preserve">for any patents necessarily infringed by compliant implementations.</w:t>
            </w:r>
          </w:p>
          <w:p>
            <w:pPr>
              <w:spacing w:before="0" w:after="60"/>
            </w:pPr>
            <w:r>
              <w:rPr>
                <w:rFonts w:ascii="Arial" w:cs="Arial" w:eastAsia="Arial" w:hAnsi="Arial"/>
                <w:i w:val="false"/>
                <w:iCs w:val="false"/>
                <w:color w:val="000000"/>
                <w:sz w:val="21"/>
                <w:szCs w:val="21"/>
              </w:rPr>
              <w:t xml:space="preserve"/>
            </w:r>
          </w:p>
          <w:p>
            <w:pPr>
              <w:spacing w:before="0" w:after="40"/>
            </w:pPr>
            <w:r>
              <w:rPr>
                <w:rFonts w:ascii="Arial" w:cs="Arial" w:eastAsia="Arial" w:hAnsi="Arial"/>
                <w:i w:val="false"/>
                <w:iCs w:val="false"/>
                <w:color w:val="000000"/>
                <w:sz w:val="21"/>
                <w:szCs w:val="21"/>
              </w:rPr>
              <w:t xml:space="preserve">Note: Implementers should seek independent legal review regarding patent obligations</w:t>
            </w:r>
          </w:p>
          <w:p>
            <w:pPr>
              <w:spacing w:before="0" w:after="40"/>
            </w:pPr>
            <w:r>
              <w:rPr>
                <w:rFonts w:ascii="Arial" w:cs="Arial" w:eastAsia="Arial" w:hAnsi="Arial"/>
                <w:i w:val="false"/>
                <w:iCs w:val="false"/>
                <w:color w:val="000000"/>
                <w:sz w:val="21"/>
                <w:szCs w:val="21"/>
              </w:rPr>
              <w:t xml:space="preserve">in their specific jurisdictions. This statement reflects UCCA Inc.'s current intent</w:t>
            </w:r>
          </w:p>
          <w:p>
            <w:pPr>
              <w:spacing w:before="0" w:after="40"/>
            </w:pPr>
            <w:r>
              <w:rPr>
                <w:rFonts w:ascii="Arial" w:cs="Arial" w:eastAsia="Arial" w:hAnsi="Arial"/>
                <w:i w:val="false"/>
                <w:iCs w:val="false"/>
                <w:color w:val="000000"/>
                <w:sz w:val="21"/>
                <w:szCs w:val="21"/>
              </w:rPr>
              <w:t xml:space="preserve">and does not constitute a formal FRAND or W3C RF commitment pending foundation establishment.</w:t>
            </w:r>
          </w:p>
        </w:tc>
      </w:tr>
    </w:tbl>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Contents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0"/>
        <w:gridCol w:w="1560"/>
      </w:tblGrid>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1. Scope and Purpose</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4</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2. Normative References</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5</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3. Terms and Definitions</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6</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4. Actor Taxonomy</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7</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5. Identity Primitives</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8</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6. Capability Envelope Specification</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9</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7. Chain Event Schema</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10</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8. Attestation Model</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11</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9. Store-and-Forward Protocol</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12</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10. Supervision Chain and Delegated Fleet Authority</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13</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11. Revocation Propagation</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14</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12. Conformance</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15</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Annex A: Regulatory Alignment</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16</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Annex B: High-Volume Non-Human Actor Architecture</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17</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Annex C: Example — Autonomous Drone Delivery Fleet</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18</w:t>
            </w:r>
          </w:p>
        </w:tc>
      </w:tr>
      <w:tr>
        <w:tc>
          <w:tcPr>
            <w:tcW w:type="dxa" w:w="7800"/>
            <w:tcBorders>
              <w:top w:val="none" w:color="FFFFFF" w:sz="0"/>
              <w:left w:val="none" w:color="FFFFFF" w:sz="0"/>
              <w:bottom w:val="none" w:color="FFFFFF" w:sz="0"/>
              <w:right w:val="none" w:color="FFFFFF" w:sz="0"/>
            </w:tcBorders>
            <w:tcMar>
              <w:top w:type="dxa" w:w="60"/>
              <w:left w:type="dxa" w:w="0"/>
              <w:bottom w:type="dxa" w:w="60"/>
              <w:right w:type="dxa" w:w="0"/>
            </w:tcMar>
          </w:tcPr>
          <w:p>
            <w:r>
              <w:rPr>
                <w:rFonts w:ascii="Arial" w:cs="Arial" w:eastAsia="Arial" w:hAnsi="Arial"/>
                <w:color w:val="000000"/>
                <w:sz w:val="22"/>
                <w:szCs w:val="22"/>
              </w:rPr>
              <w:t xml:space="preserve">Annex D: Comparison with Related Standards</w:t>
            </w:r>
          </w:p>
        </w:tc>
        <w:tc>
          <w:tcPr>
            <w:tcW w:type="dxa" w:w="1560"/>
            <w:tcBorders>
              <w:top w:val="none" w:color="FFFFFF" w:sz="0"/>
              <w:left w:val="none" w:color="FFFFFF" w:sz="0"/>
              <w:bottom w:val="none" w:color="FFFFFF" w:sz="0"/>
              <w:right w:val="none" w:color="FFFFFF" w:sz="0"/>
            </w:tcBorders>
            <w:tcMar>
              <w:top w:type="dxa" w:w="60"/>
              <w:left w:type="dxa" w:w="0"/>
              <w:bottom w:type="dxa" w:w="60"/>
              <w:right w:type="dxa" w:w="0"/>
            </w:tcMar>
          </w:tcPr>
          <w:p>
            <w:pPr>
              <w:jc w:val="right"/>
            </w:pPr>
            <w:r>
              <w:rPr>
                <w:rFonts w:ascii="Arial" w:cs="Arial" w:eastAsia="Arial" w:hAnsi="Arial"/>
                <w:color w:val="666666"/>
                <w:sz w:val="22"/>
                <w:szCs w:val="22"/>
              </w:rPr>
              <w:t xml:space="preserve">19</w:t>
            </w:r>
          </w:p>
        </w:tc>
      </w:tr>
    </w:tbl>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1. Scope and Purpose</w:t>
      </w:r>
    </w:p>
    <w:p>
      <w:pPr>
        <w:pStyle w:val="Heading2"/>
        <w:spacing w:before="280" w:after="120"/>
      </w:pPr>
      <w:r>
        <w:rPr>
          <w:rFonts w:ascii="Arial" w:cs="Arial" w:eastAsia="Arial" w:hAnsi="Arial"/>
          <w:b/>
          <w:bCs/>
          <w:color w:val="1A3A5C"/>
          <w:sz w:val="28"/>
          <w:szCs w:val="28"/>
        </w:rPr>
        <w:t xml:space="preserve">1.1 Scope</w:t>
      </w:r>
    </w:p>
    <w:p>
      <w:pPr>
        <w:spacing w:before="120" w:after="120"/>
        <w:jc w:val="left"/>
      </w:pPr>
      <w:r>
        <w:rPr>
          <w:rFonts w:ascii="Arial" w:cs="Arial" w:eastAsia="Arial" w:hAnsi="Arial"/>
          <w:b w:val="false"/>
          <w:bCs w:val="false"/>
          <w:i w:val="false"/>
          <w:iCs w:val="false"/>
          <w:color w:val="000000"/>
          <w:sz w:val="22"/>
          <w:szCs w:val="22"/>
        </w:rPr>
        <w:t xml:space="preserve">This specification defines the UCCO data format and protocols for cryptographic recording, verification, and portability of capability attestations for human and non-human actors in regulated environments. It covers:</w:t>
      </w:r>
    </w:p>
    <w:p>
      <w:pPr>
        <w:pStyle w:val="ListParagraph"/>
        <w:numPr>
          <w:ilvl w:val="0"/>
          <w:numId w:val="2"/>
        </w:numPr>
        <w:spacing w:before="60" w:after="60"/>
      </w:pPr>
      <w:r>
        <w:rPr>
          <w:rFonts w:ascii="Arial" w:cs="Arial" w:eastAsia="Arial" w:hAnsi="Arial"/>
          <w:color w:val="000000"/>
          <w:sz w:val="22"/>
          <w:szCs w:val="22"/>
        </w:rPr>
        <w:t xml:space="preserve">Structure of the UCCO chain object and its constituent events</w:t>
      </w:r>
    </w:p>
    <w:p>
      <w:pPr>
        <w:pStyle w:val="ListParagraph"/>
        <w:numPr>
          <w:ilvl w:val="0"/>
          <w:numId w:val="2"/>
        </w:numPr>
        <w:spacing w:before="60" w:after="60"/>
      </w:pPr>
      <w:r>
        <w:rPr>
          <w:rFonts w:ascii="Arial" w:cs="Arial" w:eastAsia="Arial" w:hAnsi="Arial"/>
          <w:color w:val="000000"/>
          <w:sz w:val="22"/>
          <w:szCs w:val="22"/>
        </w:rPr>
        <w:t xml:space="preserve">Identity primitives for human and non-human actors</w:t>
      </w:r>
    </w:p>
    <w:p>
      <w:pPr>
        <w:pStyle w:val="ListParagraph"/>
        <w:numPr>
          <w:ilvl w:val="0"/>
          <w:numId w:val="2"/>
        </w:numPr>
        <w:spacing w:before="60" w:after="60"/>
      </w:pPr>
      <w:r>
        <w:rPr>
          <w:rFonts w:ascii="Arial" w:cs="Arial" w:eastAsia="Arial" w:hAnsi="Arial"/>
          <w:color w:val="000000"/>
          <w:sz w:val="22"/>
          <w:szCs w:val="22"/>
        </w:rPr>
        <w:t xml:space="preserve">The capability envelope — formal specification of certified acts an actor may perform</w:t>
      </w:r>
    </w:p>
    <w:p>
      <w:pPr>
        <w:pStyle w:val="ListParagraph"/>
        <w:numPr>
          <w:ilvl w:val="0"/>
          <w:numId w:val="2"/>
        </w:numPr>
        <w:spacing w:before="60" w:after="60"/>
      </w:pPr>
      <w:r>
        <w:rPr>
          <w:rFonts w:ascii="Arial" w:cs="Arial" w:eastAsia="Arial" w:hAnsi="Arial"/>
          <w:color w:val="000000"/>
          <w:sz w:val="22"/>
          <w:szCs w:val="22"/>
        </w:rPr>
        <w:t xml:space="preserve">Chain event types and required fields</w:t>
      </w:r>
    </w:p>
    <w:p>
      <w:pPr>
        <w:pStyle w:val="ListParagraph"/>
        <w:numPr>
          <w:ilvl w:val="0"/>
          <w:numId w:val="2"/>
        </w:numPr>
        <w:spacing w:before="60" w:after="60"/>
      </w:pPr>
      <w:r>
        <w:rPr>
          <w:rFonts w:ascii="Arial" w:cs="Arial" w:eastAsia="Arial" w:hAnsi="Arial"/>
          <w:color w:val="000000"/>
          <w:sz w:val="22"/>
          <w:szCs w:val="22"/>
        </w:rPr>
        <w:t xml:space="preserve">Attestation model for continuous proof of identity and integrity</w:t>
      </w:r>
    </w:p>
    <w:p>
      <w:pPr>
        <w:pStyle w:val="ListParagraph"/>
        <w:numPr>
          <w:ilvl w:val="0"/>
          <w:numId w:val="2"/>
        </w:numPr>
        <w:spacing w:before="60" w:after="60"/>
      </w:pPr>
      <w:r>
        <w:rPr>
          <w:rFonts w:ascii="Arial" w:cs="Arial" w:eastAsia="Arial" w:hAnsi="Arial"/>
          <w:color w:val="000000"/>
          <w:sz w:val="22"/>
          <w:szCs w:val="22"/>
        </w:rPr>
        <w:t xml:space="preserve">Store-and-forward protocol for partition-tolerant operation</w:t>
      </w:r>
    </w:p>
    <w:p>
      <w:pPr>
        <w:pStyle w:val="ListParagraph"/>
        <w:numPr>
          <w:ilvl w:val="0"/>
          <w:numId w:val="2"/>
        </w:numPr>
        <w:spacing w:before="60" w:after="60"/>
      </w:pPr>
      <w:r>
        <w:rPr>
          <w:rFonts w:ascii="Arial" w:cs="Arial" w:eastAsia="Arial" w:hAnsi="Arial"/>
          <w:color w:val="000000"/>
          <w:sz w:val="22"/>
          <w:szCs w:val="22"/>
        </w:rPr>
        <w:t xml:space="preserve">Supervision chain requirement linking non-human actors to human accountability</w:t>
      </w:r>
    </w:p>
    <w:p>
      <w:pPr>
        <w:pStyle w:val="ListParagraph"/>
        <w:numPr>
          <w:ilvl w:val="0"/>
          <w:numId w:val="2"/>
        </w:numPr>
        <w:spacing w:before="60" w:after="60"/>
      </w:pPr>
      <w:r>
        <w:rPr>
          <w:rFonts w:ascii="Arial" w:cs="Arial" w:eastAsia="Arial" w:hAnsi="Arial"/>
          <w:color w:val="000000"/>
          <w:sz w:val="22"/>
          <w:szCs w:val="22"/>
        </w:rPr>
        <w:t xml:space="preserve">Delegated Fleet Authority for supervised machine fleets</w:t>
      </w:r>
    </w:p>
    <w:p>
      <w:pPr>
        <w:pStyle w:val="ListParagraph"/>
        <w:numPr>
          <w:ilvl w:val="0"/>
          <w:numId w:val="2"/>
        </w:numPr>
        <w:spacing w:before="60" w:after="60"/>
      </w:pPr>
      <w:r>
        <w:rPr>
          <w:rFonts w:ascii="Arial" w:cs="Arial" w:eastAsia="Arial" w:hAnsi="Arial"/>
          <w:color w:val="000000"/>
          <w:sz w:val="22"/>
          <w:szCs w:val="22"/>
        </w:rPr>
        <w:t xml:space="preserve">Revocation propagation to dependent relying parties</w:t>
      </w:r>
    </w:p>
    <w:p>
      <w:pPr>
        <w:spacing w:before="120" w:after="120"/>
      </w:pPr>
      <w:r>
        <w:t xml:space="preserve"/>
      </w:r>
    </w:p>
    <w:p>
      <w:pPr>
        <w:spacing w:before="120" w:after="120"/>
        <w:jc w:val="left"/>
      </w:pPr>
      <w:r>
        <w:rPr>
          <w:rFonts w:ascii="Arial" w:cs="Arial" w:eastAsia="Arial" w:hAnsi="Arial"/>
          <w:b w:val="false"/>
          <w:bCs w:val="false"/>
          <w:i w:val="false"/>
          <w:iCs w:val="false"/>
          <w:color w:val="000000"/>
          <w:sz w:val="22"/>
          <w:szCs w:val="22"/>
        </w:rPr>
        <w:t xml:space="preserve">This specification does not define:</w:t>
      </w:r>
    </w:p>
    <w:p>
      <w:pPr>
        <w:pStyle w:val="ListParagraph"/>
        <w:numPr>
          <w:ilvl w:val="0"/>
          <w:numId w:val="2"/>
        </w:numPr>
        <w:spacing w:before="60" w:after="60"/>
      </w:pPr>
      <w:r>
        <w:rPr>
          <w:rFonts w:ascii="Arial" w:cs="Arial" w:eastAsia="Arial" w:hAnsi="Arial"/>
          <w:color w:val="000000"/>
          <w:sz w:val="22"/>
          <w:szCs w:val="22"/>
        </w:rPr>
        <w:t xml:space="preserve">Specific competency frameworks or training curricula — these are corpus-layer concerns</w:t>
      </w:r>
    </w:p>
    <w:p>
      <w:pPr>
        <w:pStyle w:val="ListParagraph"/>
        <w:numPr>
          <w:ilvl w:val="0"/>
          <w:numId w:val="2"/>
        </w:numPr>
        <w:spacing w:before="60" w:after="60"/>
      </w:pPr>
      <w:r>
        <w:rPr>
          <w:rFonts w:ascii="Arial" w:cs="Arial" w:eastAsia="Arial" w:hAnsi="Arial"/>
          <w:color w:val="000000"/>
          <w:sz w:val="22"/>
          <w:szCs w:val="22"/>
        </w:rPr>
        <w:t xml:space="preserve">Commercial billing or access-control models, although UCCO Tier 3 events are compatible with smart-contract oracles</w:t>
      </w:r>
    </w:p>
    <w:p>
      <w:pPr>
        <w:pStyle w:val="ListParagraph"/>
        <w:numPr>
          <w:ilvl w:val="0"/>
          <w:numId w:val="2"/>
        </w:numPr>
        <w:spacing w:before="60" w:after="60"/>
      </w:pPr>
      <w:r>
        <w:rPr>
          <w:rFonts w:ascii="Arial" w:cs="Arial" w:eastAsia="Arial" w:hAnsi="Arial"/>
          <w:color w:val="000000"/>
          <w:sz w:val="22"/>
          <w:szCs w:val="22"/>
        </w:rPr>
        <w:t xml:space="preserve">Platform-specific implementation requirements beyond protocol conformance</w:t>
      </w:r>
    </w:p>
    <w:p>
      <w:pPr>
        <w:pStyle w:val="ListParagraph"/>
        <w:numPr>
          <w:ilvl w:val="0"/>
          <w:numId w:val="2"/>
        </w:numPr>
        <w:spacing w:before="60" w:after="60"/>
      </w:pPr>
      <w:r>
        <w:rPr>
          <w:rFonts w:ascii="Arial" w:cs="Arial" w:eastAsia="Arial" w:hAnsi="Arial"/>
          <w:color w:val="000000"/>
          <w:sz w:val="22"/>
          <w:szCs w:val="22"/>
        </w:rPr>
        <w:t xml:space="preserve">Legal enforceability of UCCO records in specific jurisdictions — addressed in Annex A</w:t>
      </w:r>
    </w:p>
    <w:p>
      <w:pPr>
        <w:pStyle w:val="Heading2"/>
        <w:spacing w:before="280" w:after="120"/>
      </w:pPr>
      <w:r>
        <w:rPr>
          <w:rFonts w:ascii="Arial" w:cs="Arial" w:eastAsia="Arial" w:hAnsi="Arial"/>
          <w:b/>
          <w:bCs/>
          <w:color w:val="1A3A5C"/>
          <w:sz w:val="28"/>
          <w:szCs w:val="28"/>
        </w:rPr>
        <w:t xml:space="preserve">1.2 Purpose</w:t>
      </w:r>
    </w:p>
    <w:p>
      <w:pPr>
        <w:spacing w:before="120" w:after="120"/>
        <w:jc w:val="left"/>
      </w:pPr>
      <w:r>
        <w:rPr>
          <w:rFonts w:ascii="Arial" w:cs="Arial" w:eastAsia="Arial" w:hAnsi="Arial"/>
          <w:b w:val="false"/>
          <w:bCs w:val="false"/>
          <w:i w:val="false"/>
          <w:iCs w:val="false"/>
          <w:color w:val="000000"/>
          <w:sz w:val="22"/>
          <w:szCs w:val="22"/>
        </w:rPr>
        <w:t xml:space="preserve">The world is entering an era in which consequential acts are performed not only by humans but by machines, AI systems, and hybrid workflows. A surgical robot assisting in an operation. An AI system making a credit decision. An autonomous drone conducting infrastructure inspection. A composite workflow where a machine initiates and a human authorises.</w:t>
      </w:r>
    </w:p>
    <w:p>
      <w:pPr>
        <w:spacing w:before="120" w:after="120"/>
        <w:jc w:val="left"/>
      </w:pPr>
      <w:r>
        <w:rPr>
          <w:rFonts w:ascii="Arial" w:cs="Arial" w:eastAsia="Arial" w:hAnsi="Arial"/>
          <w:b w:val="false"/>
          <w:bCs w:val="false"/>
          <w:i w:val="false"/>
          <w:iCs w:val="false"/>
          <w:color w:val="000000"/>
          <w:sz w:val="22"/>
          <w:szCs w:val="22"/>
        </w:rPr>
        <w:t xml:space="preserve">In all these cases, the same question arises: was the actor qualified to do what it did, and can that qualification — and the act itself — be proven after the fact?</w:t>
      </w:r>
    </w:p>
    <w:p>
      <w:pPr>
        <w:spacing w:before="120" w:after="120"/>
        <w:jc w:val="left"/>
      </w:pPr>
      <w:r>
        <w:rPr>
          <w:rFonts w:ascii="Arial" w:cs="Arial" w:eastAsia="Arial" w:hAnsi="Arial"/>
          <w:b w:val="false"/>
          <w:bCs w:val="false"/>
          <w:i w:val="false"/>
          <w:iCs w:val="false"/>
          <w:color w:val="000000"/>
          <w:sz w:val="22"/>
          <w:szCs w:val="22"/>
        </w:rPr>
        <w:t xml:space="preserve">Existing credentialing infrastructure was designed for humans. It records what a person was trained to do. It does not record what they actually did. It does not extend to machines. It does not survive destruction of the underlying evidence. It cannot be verified without calling back to the issuing authority.</w:t>
      </w:r>
    </w:p>
    <w:p>
      <w:pPr>
        <w:spacing w:before="120" w:after="120"/>
        <w:jc w:val="left"/>
      </w:pPr>
      <w:r>
        <w:rPr>
          <w:rFonts w:ascii="Arial" w:cs="Arial" w:eastAsia="Arial" w:hAnsi="Arial"/>
          <w:b w:val="false"/>
          <w:bCs w:val="false"/>
          <w:i w:val="false"/>
          <w:iCs w:val="false"/>
          <w:color w:val="000000"/>
          <w:sz w:val="22"/>
          <w:szCs w:val="22"/>
        </w:rPr>
        <w:t xml:space="preserve">UCCO addresses all of these limitations through a single chain structure applicable to any actor type, capable of recording both the credential and the act, verifiable without infrastructure, and cryptographically constructed so that proof survives even after evidence is destroyed.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40"/>
              <w:left w:type="dxa" w:w="240"/>
              <w:bottom w:type="dxa" w:w="140"/>
              <w:right w:type="dxa" w:w="240"/>
            </w:tcMar>
          </w:tcPr>
          <w:p>
            <w:pPr>
              <w:spacing w:before="0" w:after="80"/>
            </w:pPr>
            <w:r>
              <w:rPr>
                <w:rFonts w:ascii="Arial" w:cs="Arial" w:eastAsia="Arial" w:hAnsi="Arial"/>
                <w:b/>
                <w:bCs/>
                <w:color w:val="0D7377"/>
                <w:sz w:val="22"/>
                <w:szCs w:val="22"/>
              </w:rPr>
              <w:t xml:space="preserve">Design Principle: The Proof Must Survive the Evidence</w:t>
            </w:r>
          </w:p>
          <w:p>
            <w:pPr>
              <w:spacing w:before="0" w:after="40"/>
            </w:pPr>
            <w:r>
              <w:rPr>
                <w:rFonts w:ascii="Arial" w:cs="Arial" w:eastAsia="Arial" w:hAnsi="Arial"/>
                <w:i w:val="false"/>
                <w:iCs w:val="false"/>
                <w:color w:val="000000"/>
                <w:sz w:val="21"/>
                <w:szCs w:val="21"/>
              </w:rPr>
              <w:t xml:space="preserve">A UCCO chain records cryptographic hashes of evidence at the moment of capture.</w:t>
            </w:r>
          </w:p>
          <w:p>
            <w:pPr>
              <w:spacing w:before="0" w:after="40"/>
            </w:pPr>
            <w:r>
              <w:rPr>
                <w:rFonts w:ascii="Arial" w:cs="Arial" w:eastAsia="Arial" w:hAnsi="Arial"/>
                <w:i w:val="false"/>
                <w:iCs w:val="false"/>
                <w:color w:val="000000"/>
                <w:sz w:val="21"/>
                <w:szCs w:val="21"/>
              </w:rPr>
              <w:t xml:space="preserve">If evidence is later destroyed — under GDPR right to erasure, or any lawful process —</w:t>
            </w:r>
          </w:p>
          <w:p>
            <w:pPr>
              <w:spacing w:before="0" w:after="40"/>
            </w:pPr>
            <w:r>
              <w:rPr>
                <w:rFonts w:ascii="Arial" w:cs="Arial" w:eastAsia="Arial" w:hAnsi="Arial"/>
                <w:i w:val="false"/>
                <w:iCs w:val="false"/>
                <w:color w:val="000000"/>
                <w:sz w:val="21"/>
                <w:szCs w:val="21"/>
              </w:rPr>
              <w:t xml:space="preserve">the chain event recording that destruction becomes part of the immutable record.</w:t>
            </w:r>
          </w:p>
          <w:p>
            <w:pPr>
              <w:spacing w:before="0" w:after="40"/>
            </w:pPr>
            <w:r>
              <w:rPr>
                <w:rFonts w:ascii="Arial" w:cs="Arial" w:eastAsia="Arial" w:hAnsi="Arial"/>
                <w:i w:val="false"/>
                <w:iCs w:val="false"/>
                <w:color w:val="000000"/>
                <w:sz w:val="21"/>
                <w:szCs w:val="21"/>
              </w:rPr>
              <w:t xml:space="preserve">The chain says: this evidence existed, this is its hash, it was destroyed on this date,</w:t>
            </w:r>
          </w:p>
          <w:p>
            <w:pPr>
              <w:spacing w:before="0" w:after="40"/>
            </w:pPr>
            <w:r>
              <w:rPr>
                <w:rFonts w:ascii="Arial" w:cs="Arial" w:eastAsia="Arial" w:hAnsi="Arial"/>
                <w:i w:val="false"/>
                <w:iCs w:val="false"/>
                <w:color w:val="000000"/>
                <w:sz w:val="21"/>
                <w:szCs w:val="21"/>
              </w:rPr>
              <w:t xml:space="preserve">by this authority, for this stated reason.</w:t>
            </w:r>
          </w:p>
          <w:p>
            <w:pPr>
              <w:spacing w:before="0" w:after="60"/>
            </w:pPr>
            <w:r>
              <w:rPr>
                <w:rFonts w:ascii="Arial" w:cs="Arial" w:eastAsia="Arial" w:hAnsi="Arial"/>
                <w:i w:val="false"/>
                <w:iCs w:val="false"/>
                <w:color w:val="000000"/>
                <w:sz w:val="21"/>
                <w:szCs w:val="21"/>
              </w:rPr>
              <w:t xml:space="preserve"/>
            </w:r>
          </w:p>
          <w:p>
            <w:pPr>
              <w:spacing w:before="0" w:after="40"/>
            </w:pPr>
            <w:r>
              <w:rPr>
                <w:rFonts w:ascii="Arial" w:cs="Arial" w:eastAsia="Arial" w:hAnsi="Arial"/>
                <w:i/>
                <w:iCs/>
                <w:color w:val="000000"/>
                <w:sz w:val="21"/>
                <w:szCs w:val="21"/>
              </w:rPr>
              <w:t xml:space="preserve">"The proof of what happened survives the deletion of what happened."</w:t>
            </w:r>
          </w:p>
        </w:tc>
      </w:tr>
    </w:tbl>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2. Normative References</w:t>
      </w:r>
    </w:p>
    <w:p>
      <w:pPr>
        <w:spacing w:before="120" w:after="120"/>
        <w:jc w:val="left"/>
      </w:pPr>
      <w:r>
        <w:rPr>
          <w:rFonts w:ascii="Arial" w:cs="Arial" w:eastAsia="Arial" w:hAnsi="Arial"/>
          <w:b w:val="false"/>
          <w:bCs w:val="false"/>
          <w:i w:val="false"/>
          <w:iCs w:val="false"/>
          <w:color w:val="000000"/>
          <w:sz w:val="22"/>
          <w:szCs w:val="22"/>
        </w:rPr>
        <w:t xml:space="preserve">The following documents are referenced normatively. Where undated references are made, the latest edition applies.</w:t>
      </w:r>
    </w:p>
    <w:p>
      <w:pPr>
        <w:spacing w:before="8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000"/>
        <w:gridCol w:w="3160"/>
      </w:tblGrid>
      <w:tr>
        <w:trPr>
          <w:tblHeader/>
        </w:trPr>
        <w:tc>
          <w:tcPr>
            <w:tcW w:type="dxa" w:w="22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Reference</w:t>
            </w:r>
          </w:p>
        </w:tc>
        <w:tc>
          <w:tcPr>
            <w:tcW w:type="dxa" w:w="4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Standard</w:t>
            </w:r>
          </w:p>
        </w:tc>
        <w:tc>
          <w:tcPr>
            <w:tcW w:type="dxa" w:w="31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Relevance</w:t>
            </w:r>
          </w:p>
        </w:tc>
      </w:tr>
      <w:tr>
        <w:tc>
          <w:tcPr>
            <w:tcW w:type="dxa" w:w="2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FIPS 180-4</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Secure Hash Standard (SHS) — SHA-256</w:t>
            </w:r>
          </w:p>
        </w:tc>
        <w:tc>
          <w:tcPr>
            <w:tcW w:type="dxa" w:w="3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Chain node hash algorithm</w:t>
            </w:r>
          </w:p>
        </w:tc>
      </w:tr>
      <w:tr>
        <w:tc>
          <w:tcPr>
            <w:tcW w:type="dxa" w:w="2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FIPS 140-2 Level 2</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Security Requirements for Cryptographic Modules</w:t>
            </w:r>
          </w:p>
        </w:tc>
        <w:tc>
          <w:tcPr>
            <w:tcW w:type="dxa" w:w="3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K1/K2 key storage minimum</w:t>
            </w:r>
          </w:p>
        </w:tc>
      </w:tr>
      <w:tr>
        <w:tc>
          <w:tcPr>
            <w:tcW w:type="dxa" w:w="2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NIST SP 800-56C Rev 2</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Recommendation for Key-Derivation Methods</w:t>
            </w:r>
          </w:p>
        </w:tc>
        <w:tc>
          <w:tcPr>
            <w:tcW w:type="dxa" w:w="3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HKDF-SHA256 evidence key derivation</w:t>
            </w:r>
          </w:p>
        </w:tc>
      </w:tr>
      <w:tr>
        <w:tc>
          <w:tcPr>
            <w:tcW w:type="dxa" w:w="2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NIST SP 800-53 Rev 5</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Security and Privacy Controls — AU-9</w:t>
            </w:r>
          </w:p>
        </w:tc>
        <w:tc>
          <w:tcPr>
            <w:tcW w:type="dxa" w:w="3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Audit record integrity</w:t>
            </w:r>
          </w:p>
        </w:tc>
      </w:tr>
      <w:tr>
        <w:tc>
          <w:tcPr>
            <w:tcW w:type="dxa" w:w="2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RFC 3339</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Date and Time on the Internet: Timestamps</w:t>
            </w:r>
          </w:p>
        </w:tc>
        <w:tc>
          <w:tcPr>
            <w:tcW w:type="dxa" w:w="3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UTC timestamp format</w:t>
            </w:r>
          </w:p>
        </w:tc>
      </w:tr>
      <w:tr>
        <w:tc>
          <w:tcPr>
            <w:tcW w:type="dxa" w:w="2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RFC 5646</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Tags for Identifying Languages (BCP 47)</w:t>
            </w:r>
          </w:p>
        </w:tc>
        <w:tc>
          <w:tcPr>
            <w:tcW w:type="dxa" w:w="3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Locale representation</w:t>
            </w:r>
          </w:p>
        </w:tc>
      </w:tr>
      <w:tr>
        <w:tc>
          <w:tcPr>
            <w:tcW w:type="dxa" w:w="2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W3C Verifiable Credentials v2.0</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Verifiable Credentials Data Model</w:t>
            </w:r>
          </w:p>
        </w:tc>
        <w:tc>
          <w:tcPr>
            <w:tcW w:type="dxa" w:w="3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Envelope compatibility</w:t>
            </w:r>
          </w:p>
        </w:tc>
      </w:tr>
      <w:tr>
        <w:tc>
          <w:tcPr>
            <w:tcW w:type="dxa" w:w="2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W3C Decentralized Identifiers v1.0</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DID Core Specification</w:t>
            </w:r>
          </w:p>
        </w:tc>
        <w:tc>
          <w:tcPr>
            <w:tcW w:type="dxa" w:w="3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Contact hash derivation</w:t>
            </w:r>
          </w:p>
        </w:tc>
      </w:tr>
      <w:tr>
        <w:tc>
          <w:tcPr>
            <w:tcW w:type="dxa" w:w="2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W3C BBS+ Signatures</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BBS+ Signature Scheme</w:t>
            </w:r>
          </w:p>
        </w:tc>
        <w:tc>
          <w:tcPr>
            <w:tcW w:type="dxa" w:w="3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Selective disclosure on envelopes</w:t>
            </w:r>
          </w:p>
        </w:tc>
      </w:tr>
      <w:tr>
        <w:tc>
          <w:tcPr>
            <w:tcW w:type="dxa" w:w="2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IEC 62443-4-2</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Security for Industrial Automation Systems</w:t>
            </w:r>
          </w:p>
        </w:tc>
        <w:tc>
          <w:tcPr>
            <w:tcW w:type="dxa" w:w="3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Non-human actor identity</w:t>
            </w:r>
          </w:p>
        </w:tc>
      </w:tr>
      <w:tr>
        <w:tc>
          <w:tcPr>
            <w:tcW w:type="dxa" w:w="2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0"/>
                <w:szCs w:val="20"/>
              </w:rPr>
              <w:t xml:space="preserve">IEEE P2510</w:t>
            </w:r>
          </w:p>
        </w:tc>
        <w:tc>
          <w:tcPr>
            <w:tcW w:type="dxa" w:w="400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Standard for Biometric Privacy</w:t>
            </w:r>
          </w:p>
        </w:tc>
        <w:tc>
          <w:tcPr>
            <w:tcW w:type="dxa" w:w="31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i/>
                <w:iCs/>
                <w:color w:val="666666"/>
                <w:sz w:val="20"/>
                <w:szCs w:val="20"/>
              </w:rPr>
              <w:t xml:space="preserve">Biometric data handling</w:t>
            </w:r>
          </w:p>
        </w:tc>
      </w:tr>
    </w:tbl>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3. Terms and Definitions</w:t>
      </w:r>
    </w:p>
    <w:p>
      <w:pPr>
        <w:pStyle w:val="Heading2"/>
        <w:spacing w:before="280" w:after="120"/>
      </w:pPr>
      <w:r>
        <w:rPr>
          <w:rFonts w:ascii="Arial" w:cs="Arial" w:eastAsia="Arial" w:hAnsi="Arial"/>
          <w:b/>
          <w:bCs/>
          <w:color w:val="1A3A5C"/>
          <w:sz w:val="28"/>
          <w:szCs w:val="28"/>
        </w:rPr>
        <w:t xml:space="preserve">3.1 Core Terms</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Actor</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Any entity — human or non-human — that performs acts within a capability envelope and whose acts are subject to chain recording.</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Capability</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The demonstrated, evidence-backed state of qualification to perform a specific act in a specific context. Capability is not static — it can be gained, maintained, expanded, and lost.</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Capability Envelope</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JSON document specifying the certified acts an actor may perform. Signed by the issuing authority, downloaded at issuance, and hash-verified at runtime. Supports selective disclosure via BBS+.</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Chain Object</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UCCO-compliant record for one actor. Contains identity primitive, capability envelope, and an append-only sequence of chain events linked by cryptographic hash.</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Chain Hash</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SHA-256 of the canonical event payload. Computed as: SHA-256(parent_hash || event_type || timestamp_utc || payload) using canonical UTF-8 serialisation with length-prefixed fields. Canonical serialisation is defined in the companion Implementation Guide. The chain is valid if and only if every hash recomputes correctly from genesis to tip.</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Contact Hash / DID</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Privacy-preserving W3C DID derived from the actor's primary identity. Used as the chain object key. Non-reversible without the issuing authority's salt.</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K1</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Issuing authority's encryption key component. Held in HSM meeting FIPS 140-2 Level 2 minimum. Destruction of K1 constitutes GDPR-compliant erasure of all associated evidence.</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K2</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Actor's key component. Bound to a physical device: mobile secure enclave / keychain for humans; TPM chip or HSM for machines. Physical possession of the K2 device is required for Tier 3 interactions.</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Delegated Fleet Authority (DFA)</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Cryptographically signed policy allowing one human supervisor to set aggregate operational bounds for multiple non-human actors. Encoded as a signed JSON policy document with a hash stored in each dependent actor's capability envelope.</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Ephemeral Rollup</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Merkle-tree compression of a batch of low-risk Tier 3 events into a single vault transaction. Reduces vault write costs for high-volume machine actors without compromising auditability.</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Distributed Saga</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Coordination pattern for COMPOSITE actor workflows ensuring that all participants either commit their chain events atomically, or emit a state_reconciliation event that cleanly reverses partial progress. See Section 7.4 for required fields.</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Revocation Propagation</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The protocol by which revocation of an actor's chain (chain_revoked) is communicated to relying parties holding cached portable proofs. See Section 11.</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Genesis Event</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First event in a chain object. Records initial identity verification, capability envelope hash, and issuing authority signature. Parent hash is null. All subsequent events hash-link to their predecessor.</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Chain Tip</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The most recent chain event. Current actor state is derived from the chain tip.</w:t>
            </w:r>
          </w:p>
        </w:tc>
      </w:tr>
      <w:tr>
        <w:tc>
          <w:tcPr>
            <w:tcW w:type="dxa" w:w="2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color w:val="0D1F3C"/>
                <w:sz w:val="22"/>
                <w:szCs w:val="22"/>
              </w:rPr>
              <w:t xml:space="preserve">Portable Proof</w:t>
            </w:r>
          </w:p>
        </w:tc>
        <w:tc>
          <w:tcPr>
            <w:tcW w:type="dxa" w:w="67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color w:val="000000"/>
                <w:sz w:val="22"/>
                <w:szCs w:val="22"/>
              </w:rPr>
              <w:t xml:space="preserve">A UCCO chain object verifiable by any party holding the issuing authority's public key, without calling back to the issuing authority.</w:t>
            </w:r>
          </w:p>
        </w:tc>
      </w:tr>
    </w:tbl>
    <w:p>
      <w:pPr>
        <w:spacing w:before="120" w:after="120"/>
      </w:pPr>
      <w:r>
        <w:t xml:space="preserve"/>
      </w:r>
    </w:p>
    <w:p>
      <w:pPr>
        <w:pStyle w:val="Heading2"/>
        <w:spacing w:before="280" w:after="120"/>
      </w:pPr>
      <w:r>
        <w:rPr>
          <w:rFonts w:ascii="Arial" w:cs="Arial" w:eastAsia="Arial" w:hAnsi="Arial"/>
          <w:b/>
          <w:bCs/>
          <w:color w:val="1A3A5C"/>
          <w:sz w:val="28"/>
          <w:szCs w:val="28"/>
        </w:rPr>
        <w:t xml:space="preserve">3.2 Interaction Tiers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200"/>
        <w:gridCol w:w="5960"/>
      </w:tblGrid>
      <w:tr>
        <w:trPr>
          <w:tblHeader/>
        </w:trPr>
        <w:tc>
          <w:tcPr>
            <w:tcW w:type="dxa" w:w="12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Tier</w:t>
            </w:r>
          </w:p>
        </w:tc>
        <w:tc>
          <w:tcPr>
            <w:tcW w:type="dxa" w:w="22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Name</w:t>
            </w:r>
          </w:p>
        </w:tc>
        <w:tc>
          <w:tcPr>
            <w:tcW w:type="dxa" w:w="59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Chain Recording Consequence</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2"/>
                <w:szCs w:val="22"/>
              </w:rPr>
              <w:t xml:space="preserve">T1</w:t>
            </w:r>
          </w:p>
        </w:tc>
        <w:tc>
          <w:tcPr>
            <w:tcW w:type="dxa" w:w="2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Observe</w:t>
            </w:r>
          </w:p>
        </w:tc>
        <w:tc>
          <w:tcPr>
            <w:tcW w:type="dxa" w:w="59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No chain event. Equivalent to reading an instrument panel — no consequence.</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2"/>
                <w:szCs w:val="22"/>
              </w:rPr>
              <w:t xml:space="preserve">T2</w:t>
            </w:r>
          </w:p>
        </w:tc>
        <w:tc>
          <w:tcPr>
            <w:tcW w:type="dxa" w:w="2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Access</w:t>
            </w:r>
          </w:p>
        </w:tc>
        <w:tc>
          <w:tcPr>
            <w:tcW w:type="dxa" w:w="59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chain_accessed informational event. Records that the capability record was consulted, not that an act was performed.</w:t>
            </w:r>
          </w:p>
        </w:tc>
      </w:tr>
      <w:tr>
        <w:tc>
          <w:tcPr>
            <w:tcW w:type="dxa" w:w="1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2"/>
                <w:szCs w:val="22"/>
              </w:rPr>
              <w:t xml:space="preserve">T3</w:t>
            </w:r>
          </w:p>
        </w:tc>
        <w:tc>
          <w:tcPr>
            <w:tcW w:type="dxa" w:w="2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Actuate</w:t>
            </w:r>
          </w:p>
        </w:tc>
        <w:tc>
          <w:tcPr>
            <w:tcW w:type="dxa" w:w="59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Full immutable chain event. Cryptographic node. Records that a certified act was performed by this actor, at this UTC time, within this capability envelope.</w:t>
            </w:r>
          </w:p>
        </w:tc>
      </w:tr>
    </w:tbl>
    <w:p>
      <w:pPr>
        <w:spacing w:before="120" w:after="120"/>
        <w:jc w:val="left"/>
      </w:pPr>
      <w:r>
        <w:rPr>
          <w:rFonts w:ascii="Arial" w:cs="Arial" w:eastAsia="Arial" w:hAnsi="Arial"/>
          <w:b w:val="false"/>
          <w:bCs w:val="false"/>
          <w:i/>
          <w:iCs/>
          <w:color w:val="666666"/>
          <w:sz w:val="22"/>
          <w:szCs w:val="22"/>
        </w:rPr>
        <w:t xml:space="preserve">The FDR Principle: you can observe all instruments (T1), touch a button without consequence (T2), move the yoke and the flight data recorder writes (T3).</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4. Actor Taxonomy</w:t>
      </w:r>
    </w:p>
    <w:p>
      <w:pPr>
        <w:pStyle w:val="Heading2"/>
        <w:spacing w:before="280" w:after="120"/>
      </w:pPr>
      <w:r>
        <w:rPr>
          <w:rFonts w:ascii="Arial" w:cs="Arial" w:eastAsia="Arial" w:hAnsi="Arial"/>
          <w:b/>
          <w:bCs/>
          <w:color w:val="1A3A5C"/>
          <w:sz w:val="28"/>
          <w:szCs w:val="28"/>
        </w:rPr>
        <w:t xml:space="preserve">4.1 Actor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200"/>
        <w:gridCol w:w="4560"/>
      </w:tblGrid>
      <w:tr>
        <w:trPr>
          <w:tblHeader/>
        </w:trPr>
        <w:tc>
          <w:tcPr>
            <w:tcW w:type="dxa" w:w="16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Type</w:t>
            </w:r>
          </w:p>
        </w:tc>
        <w:tc>
          <w:tcPr>
            <w:tcW w:type="dxa" w:w="32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Description</w:t>
            </w:r>
          </w:p>
        </w:tc>
        <w:tc>
          <w:tcPr>
            <w:tcW w:type="dxa" w:w="45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Identity Primitive</w:t>
            </w:r>
          </w:p>
        </w:tc>
      </w:tr>
      <w:tr>
        <w:tc>
          <w:tcPr>
            <w:tcW w:type="dxa" w:w="1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2"/>
                <w:szCs w:val="22"/>
              </w:rPr>
              <w:t xml:space="preserve">HUMAN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A natural person performing regulated acts within a certified capability envelope.</w:t>
            </w:r>
          </w:p>
        </w:tc>
        <w:tc>
          <w:tcPr>
            <w:tcW w:type="dxa" w:w="45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Government-issued identity document + biometric liveness proof + K2 bound to personal device keychain.</w:t>
            </w:r>
          </w:p>
        </w:tc>
      </w:tr>
      <w:tr>
        <w:tc>
          <w:tcPr>
            <w:tcW w:type="dxa" w:w="1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2"/>
                <w:szCs w:val="22"/>
              </w:rPr>
              <w:t xml:space="preserve">MACHINE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An autonomous or semi-autonomous physical system performing regulated acts.</w:t>
            </w:r>
          </w:p>
        </w:tc>
        <w:tc>
          <w:tcPr>
            <w:tcW w:type="dxa" w:w="45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TPM endorsement key hash + certified software image hash + HSM-bound K2.</w:t>
            </w:r>
          </w:p>
        </w:tc>
      </w:tr>
      <w:tr>
        <w:tc>
          <w:tcPr>
            <w:tcW w:type="dxa" w:w="1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2"/>
                <w:szCs w:val="22"/>
              </w:rPr>
              <w:t xml:space="preserve">AI_AGENT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A software system exercising judgment or making decisions within a capability envelope.</w:t>
            </w:r>
          </w:p>
        </w:tc>
        <w:tc>
          <w:tcPr>
            <w:tcW w:type="dxa" w:w="45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Model version hash + deployment manifest hash + context state hash + runtime attestation + supervision chain reference.</w:t>
            </w:r>
          </w:p>
        </w:tc>
      </w:tr>
      <w:tr>
        <w:tc>
          <w:tcPr>
            <w:tcW w:type="dxa" w:w="16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2"/>
                <w:szCs w:val="22"/>
              </w:rPr>
              <w:t xml:space="preserve">COMPOSITE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A multi-actor workflow. Must implement Distributed Saga pattern.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All constituent chains linked. Composite event references all participant chain tips at moment of the composite act.</w:t>
            </w:r>
          </w:p>
        </w:tc>
      </w:tr>
    </w:tbl>
    <w:p>
      <w:pPr>
        <w:spacing w:before="120" w:after="120"/>
      </w:pPr>
      <w:r>
        <w:t xml:space="preserve"/>
      </w:r>
    </w:p>
    <w:p>
      <w:pPr>
        <w:pStyle w:val="Heading2"/>
        <w:spacing w:before="280" w:after="120"/>
      </w:pPr>
      <w:r>
        <w:rPr>
          <w:rFonts w:ascii="Arial" w:cs="Arial" w:eastAsia="Arial" w:hAnsi="Arial"/>
          <w:b/>
          <w:bCs/>
          <w:color w:val="1A3A5C"/>
          <w:sz w:val="28"/>
          <w:szCs w:val="28"/>
        </w:rPr>
        <w:t xml:space="preserve">4.2 Actor Trust Levels</w:t>
      </w:r>
    </w:p>
    <w:p>
      <w:pPr>
        <w:spacing w:before="120" w:after="120"/>
        <w:jc w:val="left"/>
      </w:pPr>
      <w:r>
        <w:rPr>
          <w:rFonts w:ascii="Arial" w:cs="Arial" w:eastAsia="Arial" w:hAnsi="Arial"/>
          <w:b w:val="false"/>
          <w:bCs w:val="false"/>
          <w:i w:val="false"/>
          <w:iCs w:val="false"/>
          <w:color w:val="000000"/>
          <w:sz w:val="22"/>
          <w:szCs w:val="22"/>
        </w:rPr>
        <w:t xml:space="preserve">Trust level is not static. It is derived from the current chain state and recalculated at each verification event.</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2200"/>
        <w:gridCol w:w="6160"/>
      </w:tblGrid>
      <w:tr>
        <w:trPr>
          <w:tblHeader/>
        </w:trPr>
        <w:tc>
          <w:tcPr>
            <w:tcW w:type="dxa" w:w="1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Level</w:t>
            </w:r>
          </w:p>
        </w:tc>
        <w:tc>
          <w:tcPr>
            <w:tcW w:type="dxa" w:w="22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Name</w:t>
            </w:r>
          </w:p>
        </w:tc>
        <w:tc>
          <w:tcPr>
            <w:tcW w:type="dxa" w:w="61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Criteria</w:t>
            </w:r>
          </w:p>
        </w:tc>
      </w:tr>
      <w:tr>
        <w:tc>
          <w:tcPr>
            <w:tcW w:type="dxa" w:w="1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2"/>
                <w:szCs w:val="22"/>
              </w:rPr>
              <w:t xml:space="preserve">L0</w:t>
            </w:r>
          </w:p>
        </w:tc>
        <w:tc>
          <w:tcPr>
            <w:tcW w:type="dxa" w:w="2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Unknown</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No UCCO chain exists. Acts are unverifiable.</w:t>
            </w:r>
          </w:p>
        </w:tc>
      </w:tr>
      <w:tr>
        <w:tc>
          <w:tcPr>
            <w:tcW w:type="dxa" w:w="1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2"/>
                <w:szCs w:val="22"/>
              </w:rPr>
              <w:t xml:space="preserve">L1</w:t>
            </w:r>
          </w:p>
        </w:tc>
        <w:tc>
          <w:tcPr>
            <w:tcW w:type="dxa" w:w="2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Registered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Chain genesis created. Identity declared. Capability envelope not yet verified.</w:t>
            </w:r>
          </w:p>
        </w:tc>
      </w:tr>
      <w:tr>
        <w:tc>
          <w:tcPr>
            <w:tcW w:type="dxa" w:w="1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2"/>
                <w:szCs w:val="22"/>
              </w:rPr>
              <w:t xml:space="preserve">L2</w:t>
            </w:r>
          </w:p>
        </w:tc>
        <w:tc>
          <w:tcPr>
            <w:tcW w:type="dxa" w:w="2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Verified / K2 Delivered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Identity verified against primary source. K2 delivered to actor's physical device. Capability envelope active.</w:t>
            </w:r>
          </w:p>
        </w:tc>
      </w:tr>
      <w:tr>
        <w:tc>
          <w:tcPr>
            <w:tcW w:type="dxa" w:w="1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2"/>
                <w:szCs w:val="22"/>
              </w:rPr>
              <w:t xml:space="preserve">L3</w:t>
            </w:r>
          </w:p>
        </w:tc>
        <w:tc>
          <w:tcPr>
            <w:tcW w:type="dxa" w:w="2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Fully Verified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Biometric liveness (human) or attestation heartbeat (non-human) confirmed within recertification period. Supervision chain current. All prerequisites met.</w:t>
            </w:r>
          </w:p>
        </w:tc>
      </w:tr>
      <w:tr>
        <w:tc>
          <w:tcPr>
            <w:tcW w:type="dxa" w:w="1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2"/>
                <w:szCs w:val="22"/>
              </w:rPr>
              <w:t xml:space="preserve">L4</w:t>
            </w:r>
          </w:p>
        </w:tc>
        <w:tc>
          <w:tcPr>
            <w:tcW w:type="dxa" w:w="2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Suspended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Chain active but capability envelope suspended. Tier 3 interactions blocked pending resolution.</w:t>
            </w:r>
          </w:p>
        </w:tc>
      </w:tr>
      <w:tr>
        <w:tc>
          <w:tcPr>
            <w:tcW w:type="dxa" w:w="1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2"/>
                <w:szCs w:val="22"/>
              </w:rPr>
              <w:t xml:space="preserve">L5</w:t>
            </w:r>
          </w:p>
        </w:tc>
        <w:tc>
          <w:tcPr>
            <w:tcW w:type="dxa" w:w="22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Revoked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Chain closed. K1 destroyed. Evidence permanently inaccessible. Revocation propagation initiated.</w:t>
            </w:r>
          </w:p>
        </w:tc>
      </w:tr>
    </w:tbl>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5. Identity Primitives</w:t>
      </w:r>
    </w:p>
    <w:p>
      <w:pPr>
        <w:pStyle w:val="Heading2"/>
        <w:spacing w:before="280" w:after="120"/>
      </w:pPr>
      <w:r>
        <w:rPr>
          <w:rFonts w:ascii="Arial" w:cs="Arial" w:eastAsia="Arial" w:hAnsi="Arial"/>
          <w:b/>
          <w:bCs/>
          <w:color w:val="1A3A5C"/>
          <w:sz w:val="28"/>
          <w:szCs w:val="28"/>
        </w:rPr>
        <w:t xml:space="preserve">5.1 Human Actor Identity</w:t>
      </w:r>
    </w:p>
    <w:p>
      <w:pPr>
        <w:spacing w:before="120" w:after="120"/>
        <w:jc w:val="left"/>
      </w:pPr>
      <w:r>
        <w:rPr>
          <w:rFonts w:ascii="Arial" w:cs="Arial" w:eastAsia="Arial" w:hAnsi="Arial"/>
          <w:b w:val="false"/>
          <w:bCs w:val="false"/>
          <w:i w:val="false"/>
          <w:iCs w:val="false"/>
          <w:color w:val="000000"/>
          <w:sz w:val="22"/>
          <w:szCs w:val="22"/>
        </w:rPr>
        <w:t xml:space="preserve">Three components. All must be satisfied before L2 trust level is assigned.</w:t>
      </w:r>
    </w:p>
    <w:p>
      <w:pPr>
        <w:pStyle w:val="Heading3"/>
        <w:spacing w:before="200" w:after="100"/>
      </w:pPr>
      <w:r>
        <w:rPr>
          <w:rFonts w:ascii="Arial" w:cs="Arial" w:eastAsia="Arial" w:hAnsi="Arial"/>
          <w:b/>
          <w:bCs/>
          <w:color w:val="0D7377"/>
          <w:sz w:val="24"/>
          <w:szCs w:val="24"/>
        </w:rPr>
        <w:t xml:space="preserve">5.1.1 Primary Identity Document</w:t>
      </w:r>
    </w:p>
    <w:p>
      <w:pPr>
        <w:spacing w:before="120" w:after="120"/>
        <w:jc w:val="left"/>
      </w:pPr>
      <w:r>
        <w:rPr>
          <w:rFonts w:ascii="Arial" w:cs="Arial" w:eastAsia="Arial" w:hAnsi="Arial"/>
          <w:b w:val="false"/>
          <w:bCs w:val="false"/>
          <w:i w:val="false"/>
          <w:iCs w:val="false"/>
          <w:color w:val="000000"/>
          <w:sz w:val="22"/>
          <w:szCs w:val="22"/>
        </w:rPr>
        <w:t xml:space="preserve">Government-issued document with photograph and machine-readable zone. Verified against issuing authority public key where available (ePassport, REAL ID). Document details are not stored in the chain — only the verification event and document hash.</w:t>
      </w:r>
    </w:p>
    <w:p>
      <w:pPr>
        <w:pStyle w:val="Heading3"/>
        <w:spacing w:before="200" w:after="100"/>
      </w:pPr>
      <w:r>
        <w:rPr>
          <w:rFonts w:ascii="Arial" w:cs="Arial" w:eastAsia="Arial" w:hAnsi="Arial"/>
          <w:b/>
          <w:bCs/>
          <w:color w:val="0D7377"/>
          <w:sz w:val="24"/>
          <w:szCs w:val="24"/>
        </w:rPr>
        <w:t xml:space="preserve">5.1.2 Biometric Liveness Proof</w:t>
      </w:r>
    </w:p>
    <w:p>
      <w:pPr>
        <w:spacing w:before="120" w:after="120"/>
        <w:jc w:val="left"/>
      </w:pPr>
      <w:r>
        <w:rPr>
          <w:rFonts w:ascii="Arial" w:cs="Arial" w:eastAsia="Arial" w:hAnsi="Arial"/>
          <w:b w:val="false"/>
          <w:bCs w:val="false"/>
          <w:i w:val="false"/>
          <w:iCs w:val="false"/>
          <w:color w:val="000000"/>
          <w:sz w:val="22"/>
          <w:szCs w:val="22"/>
        </w:rPr>
        <w:t xml:space="preserve">Cryptographically attested liveness check confirming the identity document holder is physically present. Biometric data is encrypted client-side using the actor's K2 component before transmission. Plaintext biometric data never exists on UCCA servers. The chain records the hash of the encrypted biometric payload and the verification result — not the biometric data itself.</w:t>
      </w:r>
    </w:p>
    <w:p>
      <w:pPr>
        <w:pStyle w:val="Heading3"/>
        <w:spacing w:before="200" w:after="100"/>
      </w:pPr>
      <w:r>
        <w:rPr>
          <w:rFonts w:ascii="Arial" w:cs="Arial" w:eastAsia="Arial" w:hAnsi="Arial"/>
          <w:b/>
          <w:bCs/>
          <w:color w:val="0D7377"/>
          <w:sz w:val="24"/>
          <w:szCs w:val="24"/>
        </w:rPr>
        <w:t xml:space="preserve">5.1.3 K2 Device Binding</w:t>
      </w:r>
    </w:p>
    <w:p>
      <w:pPr>
        <w:spacing w:before="120" w:after="120"/>
        <w:jc w:val="left"/>
      </w:pPr>
      <w:r>
        <w:rPr>
          <w:rFonts w:ascii="Arial" w:cs="Arial" w:eastAsia="Arial" w:hAnsi="Arial"/>
          <w:b w:val="false"/>
          <w:bCs w:val="false"/>
          <w:i w:val="false"/>
          <w:iCs w:val="false"/>
          <w:color w:val="000000"/>
          <w:sz w:val="22"/>
          <w:szCs w:val="22"/>
        </w:rPr>
        <w:t xml:space="preserve">K2 is bound to the actor's physical device at first verification. On mobile: stored in the device secure enclave or keychain. On desktop: requires a hardware security token. K2 cannot be transferred between devices without a new verification event recorded in the chain.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40"/>
              <w:left w:type="dxa" w:w="240"/>
              <w:bottom w:type="dxa" w:w="140"/>
              <w:right w:type="dxa" w:w="240"/>
            </w:tcMar>
          </w:tcPr>
          <w:p>
            <w:pPr>
              <w:spacing w:before="0" w:after="80"/>
            </w:pPr>
            <w:r>
              <w:rPr>
                <w:rFonts w:ascii="Arial" w:cs="Arial" w:eastAsia="Arial" w:hAnsi="Arial"/>
                <w:b/>
                <w:bCs/>
                <w:color w:val="0D7377"/>
                <w:sz w:val="22"/>
                <w:szCs w:val="22"/>
              </w:rPr>
              <w:t xml:space="preserve">The Two-Key Principle [STABLE]</w:t>
            </w:r>
          </w:p>
          <w:p>
            <w:pPr>
              <w:spacing w:before="0" w:after="40"/>
            </w:pPr>
            <w:r>
              <w:rPr>
                <w:rFonts w:ascii="Arial" w:cs="Arial" w:eastAsia="Arial" w:hAnsi="Arial"/>
                <w:i w:val="false"/>
                <w:iCs w:val="false"/>
                <w:color w:val="000000"/>
                <w:sz w:val="21"/>
                <w:szCs w:val="21"/>
              </w:rPr>
              <w:t xml:space="preserve">K1 (issuing authority HSM) + K2 (actor physical device) → HKDF-SHA256 → AES-256-GCM</w:t>
            </w:r>
          </w:p>
          <w:p>
            <w:pPr>
              <w:spacing w:before="0" w:after="40"/>
            </w:pPr>
            <w:r>
              <w:rPr>
                <w:rFonts w:ascii="Arial" w:cs="Arial" w:eastAsia="Arial" w:hAnsi="Arial"/>
                <w:i w:val="false"/>
                <w:iCs w:val="false"/>
                <w:color w:val="000000"/>
                <w:sz w:val="21"/>
                <w:szCs w:val="21"/>
              </w:rPr>
              <w:t xml:space="preserve">Neither key alone decrypts evidence.</w:t>
            </w:r>
          </w:p>
          <w:p>
            <w:pPr>
              <w:spacing w:before="0" w:after="40"/>
            </w:pPr>
            <w:r>
              <w:rPr>
                <w:rFonts w:ascii="Arial" w:cs="Arial" w:eastAsia="Arial" w:hAnsi="Arial"/>
                <w:i w:val="false"/>
                <w:iCs w:val="false"/>
                <w:color w:val="000000"/>
                <w:sz w:val="21"/>
                <w:szCs w:val="21"/>
              </w:rPr>
              <w:t xml:space="preserve">GDPR right to erasure = K1 destruction. Encrypted evidence becomes permanently unreadable.</w:t>
            </w:r>
          </w:p>
          <w:p>
            <w:pPr>
              <w:spacing w:before="0" w:after="40"/>
            </w:pPr>
            <w:r>
              <w:rPr>
                <w:rFonts w:ascii="Arial" w:cs="Arial" w:eastAsia="Arial" w:hAnsi="Arial"/>
                <w:i w:val="false"/>
                <w:iCs w:val="false"/>
                <w:color w:val="000000"/>
                <w:sz w:val="21"/>
                <w:szCs w:val="21"/>
              </w:rPr>
              <w:t xml:space="preserve">The chain_revoked event is the legal erasure record.</w:t>
            </w:r>
          </w:p>
          <w:p>
            <w:pPr>
              <w:spacing w:before="0" w:after="60"/>
            </w:pPr>
            <w:r>
              <w:rPr>
                <w:rFonts w:ascii="Arial" w:cs="Arial" w:eastAsia="Arial" w:hAnsi="Arial"/>
                <w:i w:val="false"/>
                <w:iCs w:val="false"/>
                <w:color w:val="000000"/>
                <w:sz w:val="21"/>
                <w:szCs w:val="21"/>
              </w:rPr>
              <w:t xml:space="preserve"/>
            </w:r>
          </w:p>
          <w:p>
            <w:pPr>
              <w:spacing w:before="0" w:after="40"/>
            </w:pPr>
            <w:r>
              <w:rPr>
                <w:rFonts w:ascii="Arial" w:cs="Arial" w:eastAsia="Arial" w:hAnsi="Arial"/>
                <w:i w:val="false"/>
                <w:iCs w:val="false"/>
                <w:color w:val="000000"/>
                <w:sz w:val="21"/>
                <w:szCs w:val="21"/>
              </w:rPr>
              <w:t xml:space="preserve">Threat model: to compromise evidence, an attacker must obtain:</w:t>
            </w:r>
          </w:p>
          <w:p>
            <w:pPr>
              <w:spacing w:before="0" w:after="40"/>
            </w:pPr>
            <w:r>
              <w:rPr>
                <w:rFonts w:ascii="Arial" w:cs="Arial" w:eastAsia="Arial" w:hAnsi="Arial"/>
                <w:i w:val="false"/>
                <w:iCs w:val="false"/>
                <w:color w:val="000000"/>
                <w:sz w:val="20"/>
                <w:szCs w:val="20"/>
              </w:rPr>
              <w:t xml:space="preserve">  physical server / HSM access  AND  the actor's physical device.</w:t>
            </w:r>
          </w:p>
          <w:p>
            <w:pPr>
              <w:spacing w:before="0" w:after="40"/>
            </w:pPr>
            <w:r>
              <w:rPr>
                <w:rFonts w:ascii="Arial" w:cs="Arial" w:eastAsia="Arial" w:hAnsi="Arial"/>
                <w:i w:val="false"/>
                <w:iCs w:val="false"/>
                <w:color w:val="000000"/>
                <w:sz w:val="21"/>
                <w:szCs w:val="21"/>
              </w:rPr>
              <w:t xml:space="preserve">This is a physical security problem. That is exactly where the threat model belongs.</w:t>
            </w:r>
          </w:p>
        </w:tc>
      </w:tr>
    </w:tbl>
    <w:p>
      <w:pPr>
        <w:spacing w:before="120" w:after="120"/>
      </w:pPr>
      <w:r>
        <w:t xml:space="preserve"/>
      </w:r>
    </w:p>
    <w:p>
      <w:pPr>
        <w:pStyle w:val="Heading2"/>
        <w:spacing w:before="280" w:after="120"/>
      </w:pPr>
      <w:r>
        <w:rPr>
          <w:rFonts w:ascii="Arial" w:cs="Arial" w:eastAsia="Arial" w:hAnsi="Arial"/>
          <w:b/>
          <w:bCs/>
          <w:color w:val="1A3A5C"/>
          <w:sz w:val="28"/>
          <w:szCs w:val="28"/>
        </w:rPr>
        <w:t xml:space="preserve">5.2 Non-Human Actor Identity</w:t>
      </w:r>
    </w:p>
    <w:p>
      <w:pPr>
        <w:pStyle w:val="Heading3"/>
        <w:spacing w:before="200" w:after="100"/>
      </w:pPr>
      <w:r>
        <w:rPr>
          <w:rFonts w:ascii="Arial" w:cs="Arial" w:eastAsia="Arial" w:hAnsi="Arial"/>
          <w:b/>
          <w:bCs/>
          <w:color w:val="0D7377"/>
          <w:sz w:val="24"/>
          <w:szCs w:val="24"/>
        </w:rPr>
        <w:t xml:space="preserve">5.2.1 Hardware Fingerprint</w:t>
      </w:r>
    </w:p>
    <w:p>
      <w:pPr>
        <w:spacing w:before="120" w:after="120"/>
        <w:jc w:val="left"/>
      </w:pPr>
      <w:r>
        <w:rPr>
          <w:rFonts w:ascii="Arial" w:cs="Arial" w:eastAsia="Arial" w:hAnsi="Arial"/>
          <w:b w:val="false"/>
          <w:bCs w:val="false"/>
          <w:i w:val="false"/>
          <w:iCs w:val="false"/>
          <w:color w:val="000000"/>
          <w:sz w:val="22"/>
          <w:szCs w:val="22"/>
        </w:rPr>
        <w:t xml:space="preserve">For physical machines: TPM endorsement key hash + silicon serial number. The endorsement key is generated in the TPM at manufacture and cannot be extracted — only its public key is used for verification.</w:t>
      </w:r>
    </w:p>
    <w:p>
      <w:pPr>
        <w:spacing w:before="120" w:after="120"/>
        <w:jc w:val="left"/>
      </w:pPr>
      <w:r>
        <w:rPr>
          <w:rFonts w:ascii="Arial" w:cs="Arial" w:eastAsia="Arial" w:hAnsi="Arial"/>
          <w:b w:val="false"/>
          <w:bCs w:val="false"/>
          <w:i w:val="false"/>
          <w:iCs w:val="false"/>
          <w:color w:val="000000"/>
          <w:sz w:val="22"/>
          <w:szCs w:val="22"/>
        </w:rPr>
        <w:t xml:space="preserve">For software-only AI agents: deployment environment cryptographic attestation (SGX quote, cloud provider attestation, or equivalent) combined with the deployment manifest hash.</w:t>
      </w:r>
    </w:p>
    <w:p>
      <w:pPr>
        <w:pStyle w:val="Heading3"/>
        <w:spacing w:before="200" w:after="100"/>
      </w:pPr>
      <w:r>
        <w:rPr>
          <w:rFonts w:ascii="Arial" w:cs="Arial" w:eastAsia="Arial" w:hAnsi="Arial"/>
          <w:b/>
          <w:bCs/>
          <w:color w:val="0D7377"/>
          <w:sz w:val="24"/>
          <w:szCs w:val="24"/>
        </w:rPr>
        <w:t xml:space="preserve">5.2.2 Certified Software Image Hash</w:t>
      </w:r>
    </w:p>
    <w:p>
      <w:pPr>
        <w:spacing w:before="120" w:after="120"/>
        <w:jc w:val="left"/>
      </w:pPr>
      <w:r>
        <w:rPr>
          <w:rFonts w:ascii="Arial" w:cs="Arial" w:eastAsia="Arial" w:hAnsi="Arial"/>
          <w:b w:val="false"/>
          <w:bCs w:val="false"/>
          <w:i w:val="false"/>
          <w:iCs w:val="false"/>
          <w:color w:val="000000"/>
          <w:sz w:val="22"/>
          <w:szCs w:val="22"/>
        </w:rPr>
        <w:t xml:space="preserve">SHA-256 of the certified software image, verified at boot against the hash stored in the capability envelope. If the running image does not match the certified hash, the actor's trust level is immediately downgraded and an envelope_integrity_failure chain event is recorded.</w:t>
      </w:r>
    </w:p>
    <w:p>
      <w:pPr>
        <w:pStyle w:val="Heading3"/>
        <w:spacing w:before="200" w:after="100"/>
      </w:pPr>
      <w:r>
        <w:rPr>
          <w:rFonts w:ascii="Arial" w:cs="Arial" w:eastAsia="Arial" w:hAnsi="Arial"/>
          <w:b/>
          <w:bCs/>
          <w:color w:val="0D7377"/>
          <w:sz w:val="24"/>
          <w:szCs w:val="24"/>
        </w:rPr>
        <w:t xml:space="preserve">5.2.3 HSM-Bound K2</w:t>
      </w:r>
    </w:p>
    <w:p>
      <w:pPr>
        <w:spacing w:before="120" w:after="120"/>
        <w:jc w:val="left"/>
      </w:pPr>
      <w:r>
        <w:rPr>
          <w:rFonts w:ascii="Arial" w:cs="Arial" w:eastAsia="Arial" w:hAnsi="Arial"/>
          <w:b w:val="false"/>
          <w:bCs w:val="false"/>
          <w:i w:val="false"/>
          <w:iCs w:val="false"/>
          <w:color w:val="000000"/>
          <w:sz w:val="22"/>
          <w:szCs w:val="22"/>
        </w:rPr>
        <w:t xml:space="preserve">The non-human actor's K2 equivalent is held in an HSM (FIPS 140-2 Level 2 minimum) or TPM chip. It cannot be extracted — it can only be used in place. Modification of the capability envelope, credential revocation, or override of operating parameters all require the human supervisor's K2.</w:t>
      </w:r>
    </w:p>
    <w:p>
      <w:pPr>
        <w:pStyle w:val="Heading3"/>
        <w:spacing w:before="200" w:after="100"/>
      </w:pPr>
      <w:r>
        <w:rPr>
          <w:rFonts w:ascii="Arial" w:cs="Arial" w:eastAsia="Arial" w:hAnsi="Arial"/>
          <w:b/>
          <w:bCs/>
          <w:color w:val="0D7377"/>
          <w:sz w:val="24"/>
          <w:szCs w:val="24"/>
        </w:rPr>
        <w:t xml:space="preserve">5.2.4 AI Agent Identity — Context State Binding [DRAFT]</w:t>
      </w:r>
    </w:p>
    <w:p>
      <w:pPr>
        <w:spacing w:before="120" w:after="120"/>
        <w:jc w:val="left"/>
      </w:pPr>
      <w:r>
        <w:rPr>
          <w:rFonts w:ascii="Arial" w:cs="Arial" w:eastAsia="Arial" w:hAnsi="Arial"/>
          <w:b w:val="false"/>
          <w:bCs w:val="false"/>
          <w:i w:val="false"/>
          <w:iCs w:val="false"/>
          <w:color w:val="000000"/>
          <w:sz w:val="22"/>
          <w:szCs w:val="22"/>
        </w:rPr>
        <w:t xml:space="preserve">Identical models running under identical system prompts can produce materially different behaviour based on active external memory, RAG corpora, or accumulated context. UCCO binds AI agent identity to execution state through the Context State Hash.</w:t>
      </w:r>
    </w:p>
    <w:p>
      <w:pPr>
        <w:spacing w:before="120" w:after="120"/>
        <w:jc w:val="left"/>
      </w:pPr>
      <w:r>
        <w:rPr>
          <w:rFonts w:ascii="Arial" w:cs="Arial" w:eastAsia="Arial" w:hAnsi="Arial"/>
          <w:b w:val="false"/>
          <w:bCs w:val="false"/>
          <w:i w:val="false"/>
          <w:iCs w:val="false"/>
          <w:color w:val="000000"/>
          <w:sz w:val="22"/>
          <w:szCs w:val="22"/>
        </w:rPr>
        <w:t xml:space="preserve">Context State Hash is defined 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8" w:val="clear"/>
            <w:tcMar>
              <w:top w:type="dxa" w:w="120"/>
              <w:left w:type="dxa" w:w="240"/>
              <w:bottom w:type="dxa" w:w="120"/>
              <w:right w:type="dxa" w:w="240"/>
            </w:tcMar>
          </w:tcPr>
          <w:p>
            <w:pPr>
              <w:spacing w:before="0" w:after="30"/>
            </w:pPr>
            <w:r>
              <w:rPr>
                <w:rFonts w:ascii="Courier New" w:cs="Courier New" w:eastAsia="Courier New" w:hAnsi="Courier New"/>
                <w:color w:val="1A3A5C"/>
                <w:sz w:val="18"/>
                <w:szCs w:val="18"/>
              </w:rPr>
              <w:t xml:space="preserve">context_state_hash = SHA-256(canonical_utf8({</w:t>
            </w:r>
          </w:p>
          <w:p>
            <w:pPr>
              <w:spacing w:before="0" w:after="30"/>
            </w:pPr>
            <w:r>
              <w:rPr>
                <w:rFonts w:ascii="Courier New" w:cs="Courier New" w:eastAsia="Courier New" w:hAnsi="Courier New"/>
                <w:color w:val="1A3A5C"/>
                <w:sz w:val="18"/>
                <w:szCs w:val="18"/>
              </w:rPr>
              <w:t xml:space="preserve">  "model_id":             "&lt;provider:model-name:version&gt;",</w:t>
            </w:r>
          </w:p>
          <w:p>
            <w:pPr>
              <w:spacing w:before="0" w:after="30"/>
            </w:pPr>
            <w:r>
              <w:rPr>
                <w:rFonts w:ascii="Courier New" w:cs="Courier New" w:eastAsia="Courier New" w:hAnsi="Courier New"/>
                <w:color w:val="1A3A5C"/>
                <w:sz w:val="18"/>
                <w:szCs w:val="18"/>
              </w:rPr>
              <w:t xml:space="preserve">  "system_prompt_hash":   "&lt;SHA-256 of system prompt at deployment&gt;",</w:t>
            </w:r>
          </w:p>
          <w:p>
            <w:pPr>
              <w:spacing w:before="0" w:after="30"/>
            </w:pPr>
            <w:r>
              <w:rPr>
                <w:rFonts w:ascii="Courier New" w:cs="Courier New" w:eastAsia="Courier New" w:hAnsi="Courier New"/>
                <w:color w:val="1A3A5C"/>
                <w:sz w:val="18"/>
                <w:szCs w:val="18"/>
              </w:rPr>
              <w:t xml:space="preserve">  "tool_manifest_hash":   "&lt;SHA-256 of ordered tool configuration&gt;",</w:t>
            </w:r>
          </w:p>
          <w:p>
            <w:pPr>
              <w:spacing w:before="0" w:after="30"/>
            </w:pPr>
            <w:r>
              <w:rPr>
                <w:rFonts w:ascii="Courier New" w:cs="Courier New" w:eastAsia="Courier New" w:hAnsi="Courier New"/>
                <w:color w:val="1A3A5C"/>
                <w:sz w:val="18"/>
                <w:szCs w:val="18"/>
              </w:rPr>
              <w:t xml:space="preserve">  "rag_corpus_hash":      "&lt;SHA-256 of RAG corpus index at query time, or null&gt;",</w:t>
            </w:r>
          </w:p>
          <w:p>
            <w:pPr>
              <w:spacing w:before="0" w:after="30"/>
            </w:pPr>
            <w:r>
              <w:rPr>
                <w:rFonts w:ascii="Courier New" w:cs="Courier New" w:eastAsia="Courier New" w:hAnsi="Courier New"/>
                <w:color w:val="1A3A5C"/>
                <w:sz w:val="18"/>
                <w:szCs w:val="18"/>
              </w:rPr>
              <w:t xml:space="preserve">  "active_memory_hash":   "&lt;SHA-256 of serialised external memory state, or null&gt;"</w:t>
            </w:r>
          </w:p>
          <w:p>
            <w:pPr>
              <w:spacing w:before="0" w:after="30"/>
            </w:pPr>
            <w:r>
              <w:rPr>
                <w:rFonts w:ascii="Courier New" w:cs="Courier New" w:eastAsia="Courier New" w:hAnsi="Courier New"/>
                <w:color w:val="1A3A5C"/>
                <w:sz w:val="18"/>
                <w:szCs w:val="18"/>
              </w:rPr>
              <w:t xml:space="preserve">}))</w:t>
            </w:r>
          </w:p>
        </w:tc>
      </w:tr>
    </w:tbl>
    <w:p>
      <w:pPr>
        <w:spacing w:before="120" w:after="120"/>
        <w:jc w:val="left"/>
      </w:pPr>
      <w:r>
        <w:rPr>
          <w:rFonts w:ascii="Arial" w:cs="Arial" w:eastAsia="Arial" w:hAnsi="Arial"/>
          <w:b w:val="false"/>
          <w:bCs w:val="false"/>
          <w:i w:val="false"/>
          <w:iCs w:val="false"/>
          <w:color w:val="000000"/>
          <w:sz w:val="22"/>
          <w:szCs w:val="22"/>
        </w:rPr>
        <w:t xml:space="preserve">All fields are required. Fields not applicable to a specific deployment MUST be set to the string "null" rather than omitted, to ensure canonical hash reproducibility. This hash is computed at the exact moment of each Tier 3 interaction and included in the chain event payload.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40"/>
              <w:left w:type="dxa" w:w="240"/>
              <w:bottom w:type="dxa" w:w="140"/>
              <w:right w:type="dxa" w:w="240"/>
            </w:tcMar>
          </w:tcPr>
          <w:p>
            <w:pPr>
              <w:spacing w:before="0" w:after="80"/>
            </w:pPr>
            <w:r>
              <w:rPr>
                <w:rFonts w:ascii="Arial" w:cs="Arial" w:eastAsia="Arial" w:hAnsi="Arial"/>
                <w:b/>
                <w:bCs/>
                <w:color w:val="0D7377"/>
                <w:sz w:val="22"/>
                <w:szCs w:val="22"/>
              </w:rPr>
              <w:t xml:space="preserve">Why Context State Hash matters</w:t>
            </w:r>
          </w:p>
          <w:p>
            <w:pPr>
              <w:spacing w:before="0" w:after="40"/>
            </w:pPr>
            <w:r>
              <w:rPr>
                <w:rFonts w:ascii="Arial" w:cs="Arial" w:eastAsia="Arial" w:hAnsi="Arial"/>
                <w:i w:val="false"/>
                <w:iCs w:val="false"/>
                <w:color w:val="000000"/>
                <w:sz w:val="21"/>
                <w:szCs w:val="21"/>
              </w:rPr>
              <w:t xml:space="preserve">An AI agent is not just its weights. Two instances of the same model,</w:t>
            </w:r>
          </w:p>
          <w:p>
            <w:pPr>
              <w:spacing w:before="0" w:after="40"/>
            </w:pPr>
            <w:r>
              <w:rPr>
                <w:rFonts w:ascii="Arial" w:cs="Arial" w:eastAsia="Arial" w:hAnsi="Arial"/>
                <w:i w:val="false"/>
                <w:iCs w:val="false"/>
                <w:color w:val="000000"/>
                <w:sz w:val="21"/>
                <w:szCs w:val="21"/>
              </w:rPr>
              <w:t xml:space="preserve">with the same system prompt, but different RAG corpora or memory states,</w:t>
            </w:r>
          </w:p>
          <w:p>
            <w:pPr>
              <w:spacing w:before="0" w:after="40"/>
            </w:pPr>
            <w:r>
              <w:rPr>
                <w:rFonts w:ascii="Arial" w:cs="Arial" w:eastAsia="Arial" w:hAnsi="Arial"/>
                <w:i w:val="false"/>
                <w:iCs w:val="false"/>
                <w:color w:val="000000"/>
                <w:sz w:val="21"/>
                <w:szCs w:val="21"/>
              </w:rPr>
              <w:t xml:space="preserve">are functionally different actors with different capability boundaries.</w:t>
            </w:r>
          </w:p>
          <w:p>
            <w:pPr>
              <w:spacing w:before="0" w:after="40"/>
            </w:pPr>
            <w:r>
              <w:rPr>
                <w:rFonts w:ascii="Arial" w:cs="Arial" w:eastAsia="Arial" w:hAnsi="Arial"/>
                <w:i w:val="false"/>
                <w:iCs w:val="false"/>
                <w:color w:val="000000"/>
                <w:sz w:val="21"/>
                <w:szCs w:val="21"/>
              </w:rPr>
              <w:t xml:space="preserve">The Context State Hash makes this difference cryptographically visible.</w:t>
            </w:r>
          </w:p>
          <w:p>
            <w:pPr>
              <w:spacing w:before="0" w:after="40"/>
            </w:pPr>
            <w:r>
              <w:rPr>
                <w:rFonts w:ascii="Arial" w:cs="Arial" w:eastAsia="Arial" w:hAnsi="Arial"/>
                <w:i w:val="false"/>
                <w:iCs w:val="false"/>
                <w:color w:val="000000"/>
                <w:sz w:val="21"/>
                <w:szCs w:val="21"/>
              </w:rPr>
              <w:t xml:space="preserve">An auditor can determine exactly what state the agent was in when it acted.</w:t>
            </w:r>
          </w:p>
        </w:tc>
      </w:tr>
    </w:tbl>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6. Capability Envelope Specification</w:t>
      </w:r>
    </w:p>
    <w:p>
      <w:pPr>
        <w:pStyle w:val="Heading2"/>
        <w:spacing w:before="280" w:after="120"/>
      </w:pPr>
      <w:r>
        <w:rPr>
          <w:rFonts w:ascii="Arial" w:cs="Arial" w:eastAsia="Arial" w:hAnsi="Arial"/>
          <w:b/>
          <w:bCs/>
          <w:color w:val="1A3A5C"/>
          <w:sz w:val="28"/>
          <w:szCs w:val="28"/>
        </w:rPr>
        <w:t xml:space="preserve">6.1 Purpose and Selective Disclosure</w:t>
      </w:r>
    </w:p>
    <w:p>
      <w:pPr>
        <w:spacing w:before="120" w:after="120"/>
        <w:jc w:val="left"/>
      </w:pPr>
      <w:r>
        <w:rPr>
          <w:rFonts w:ascii="Arial" w:cs="Arial" w:eastAsia="Arial" w:hAnsi="Arial"/>
          <w:b w:val="false"/>
          <w:bCs w:val="false"/>
          <w:i w:val="false"/>
          <w:iCs w:val="false"/>
          <w:color w:val="000000"/>
          <w:sz w:val="22"/>
          <w:szCs w:val="22"/>
        </w:rPr>
        <w:t xml:space="preserve">The capability envelope is the formal, machine-readable specification of what an actor is currently certified to do. It is a signed, versioned JSON document compatible with W3C Verifiable Credentials v2.0. Selective disclosure is supported via BBS+ signatures, enabling a relying party to verify a specific capability without viewing the full envelope.</w:t>
      </w:r>
    </w:p>
    <w:p>
      <w:pPr>
        <w:pStyle w:val="Heading2"/>
        <w:spacing w:before="280" w:after="120"/>
      </w:pPr>
      <w:r>
        <w:rPr>
          <w:rFonts w:ascii="Arial" w:cs="Arial" w:eastAsia="Arial" w:hAnsi="Arial"/>
          <w:b/>
          <w:bCs/>
          <w:color w:val="1A3A5C"/>
          <w:sz w:val="28"/>
          <w:szCs w:val="28"/>
        </w:rPr>
        <w:t xml:space="preserve">6.2 Envelope Schema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8" w:val="clear"/>
            <w:tcMar>
              <w:top w:type="dxa" w:w="120"/>
              <w:left w:type="dxa" w:w="240"/>
              <w:bottom w:type="dxa" w:w="120"/>
              <w:right w:type="dxa" w:w="240"/>
            </w:tcMar>
          </w:tcPr>
          <w:p>
            <w:pPr>
              <w:spacing w:before="0" w:after="30"/>
            </w:pPr>
            <w:r>
              <w:rPr>
                <w:rFonts w:ascii="Courier New" w:cs="Courier New" w:eastAsia="Courier New" w:hAnsi="Courier New"/>
                <w:color w:val="1A3A5C"/>
                <w:sz w:val="18"/>
                <w:szCs w:val="18"/>
              </w:rPr>
              <w:t xml:space="preserve">{</w:t>
            </w:r>
          </w:p>
          <w:p>
            <w:pPr>
              <w:spacing w:before="0" w:after="30"/>
            </w:pPr>
            <w:r>
              <w:rPr>
                <w:rFonts w:ascii="Courier New" w:cs="Courier New" w:eastAsia="Courier New" w:hAnsi="Courier New"/>
                <w:color w:val="1A3A5C"/>
                <w:sz w:val="18"/>
                <w:szCs w:val="18"/>
              </w:rPr>
              <w:t xml:space="preserve">  "envelope_version": "1.1",</w:t>
            </w:r>
          </w:p>
          <w:p>
            <w:pPr>
              <w:spacing w:before="0" w:after="30"/>
            </w:pPr>
            <w:r>
              <w:rPr>
                <w:rFonts w:ascii="Courier New" w:cs="Courier New" w:eastAsia="Courier New" w:hAnsi="Courier New"/>
                <w:color w:val="1A3A5C"/>
                <w:sz w:val="18"/>
                <w:szCs w:val="18"/>
              </w:rPr>
              <w:t xml:space="preserve">  "actor_type": "HUMAN | MACHINE | AI_AGENT | COMPOSITE",</w:t>
            </w:r>
          </w:p>
          <w:p>
            <w:pPr>
              <w:spacing w:before="0" w:after="30"/>
            </w:pPr>
            <w:r>
              <w:rPr>
                <w:rFonts w:ascii="Courier New" w:cs="Courier New" w:eastAsia="Courier New" w:hAnsi="Courier New"/>
                <w:color w:val="1A3A5C"/>
                <w:sz w:val="18"/>
                <w:szCs w:val="18"/>
              </w:rPr>
              <w:t xml:space="preserve">  "contact_hash_did": "&lt;W3C DID derived from actor identity&gt;",</w:t>
            </w:r>
          </w:p>
          <w:p>
            <w:pPr>
              <w:spacing w:before="0" w:after="30"/>
            </w:pPr>
            <w:r>
              <w:rPr>
                <w:rFonts w:ascii="Courier New" w:cs="Courier New" w:eastAsia="Courier New" w:hAnsi="Courier New"/>
                <w:color w:val="1A3A5C"/>
                <w:sz w:val="18"/>
                <w:szCs w:val="18"/>
              </w:rPr>
              <w:t xml:space="preserve">  "issued_at": "&lt;RFC 3339 UTC&gt;",</w:t>
            </w:r>
          </w:p>
          <w:p>
            <w:pPr>
              <w:spacing w:before="0" w:after="30"/>
            </w:pPr>
            <w:r>
              <w:rPr>
                <w:rFonts w:ascii="Courier New" w:cs="Courier New" w:eastAsia="Courier New" w:hAnsi="Courier New"/>
                <w:color w:val="1A3A5C"/>
                <w:sz w:val="18"/>
                <w:szCs w:val="18"/>
              </w:rPr>
              <w:t xml:space="preserve">  "expires_at": "&lt;RFC 3339 UTC&gt;",</w:t>
            </w:r>
          </w:p>
          <w:p>
            <w:pPr>
              <w:spacing w:before="0" w:after="30"/>
            </w:pPr>
            <w:r>
              <w:rPr>
                <w:rFonts w:ascii="Courier New" w:cs="Courier New" w:eastAsia="Courier New" w:hAnsi="Courier New"/>
                <w:color w:val="1A3A5C"/>
                <w:sz w:val="18"/>
                <w:szCs w:val="18"/>
              </w:rPr>
              <w:t xml:space="preserve">  "issuing_authority": "&lt;UCCO-compliant authority DID&gt;",</w:t>
            </w:r>
          </w:p>
          <w:p>
            <w:pPr>
              <w:spacing w:before="0" w:after="30"/>
            </w:pPr>
            <w:r>
              <w:rPr>
                <w:rFonts w:ascii="Courier New" w:cs="Courier New" w:eastAsia="Courier New" w:hAnsi="Courier New"/>
                <w:color w:val="1A3A5C"/>
                <w:sz w:val="18"/>
                <w:szCs w:val="18"/>
              </w:rPr>
              <w:t xml:space="preserve">  "authority_signature": "&lt;Ed25519 or BBS+ signature over envelope_hash&gt;",</w:t>
            </w:r>
          </w:p>
          <w:p>
            <w:pPr>
              <w:spacing w:before="0" w:after="30"/>
            </w:pPr>
            <w:r>
              <w:rPr>
                <w:rFonts w:ascii="Courier New" w:cs="Courier New" w:eastAsia="Courier New" w:hAnsi="Courier New"/>
                <w:color w:val="1A3A5C"/>
                <w:sz w:val="18"/>
                <w:szCs w:val="18"/>
              </w:rPr>
              <w:t xml:space="preserve">  "capabilities": [</w:t>
            </w:r>
          </w:p>
          <w:p>
            <w:pPr>
              <w:spacing w:before="0" w:after="30"/>
            </w:pPr>
            <w:r>
              <w:rPr>
                <w:rFonts w:ascii="Courier New" w:cs="Courier New" w:eastAsia="Courier New" w:hAnsi="Courier New"/>
                <w:color w:val="1A3A5C"/>
                <w:sz w:val="18"/>
                <w:szCs w:val="18"/>
              </w:rPr>
              <w:t xml:space="preserve">    {</w:t>
            </w:r>
          </w:p>
          <w:p>
            <w:pPr>
              <w:spacing w:before="0" w:after="30"/>
            </w:pPr>
            <w:r>
              <w:rPr>
                <w:rFonts w:ascii="Courier New" w:cs="Courier New" w:eastAsia="Courier New" w:hAnsi="Courier New"/>
                <w:color w:val="1A3A5C"/>
                <w:sz w:val="18"/>
                <w:szCs w:val="18"/>
              </w:rPr>
              <w:t xml:space="preserve">      "capability_id": "&lt;unique identifier within issuing corpus&gt;",</w:t>
            </w:r>
          </w:p>
          <w:p>
            <w:pPr>
              <w:spacing w:before="0" w:after="30"/>
            </w:pPr>
            <w:r>
              <w:rPr>
                <w:rFonts w:ascii="Courier New" w:cs="Courier New" w:eastAsia="Courier New" w:hAnsi="Courier New"/>
                <w:color w:val="1A3A5C"/>
                <w:sz w:val="18"/>
                <w:szCs w:val="18"/>
              </w:rPr>
              <w:t xml:space="preserve">      "capability_name": "&lt;human-readable name&gt;",</w:t>
            </w:r>
          </w:p>
          <w:p>
            <w:pPr>
              <w:spacing w:before="0" w:after="30"/>
            </w:pPr>
            <w:r>
              <w:rPr>
                <w:rFonts w:ascii="Courier New" w:cs="Courier New" w:eastAsia="Courier New" w:hAnsi="Courier New"/>
                <w:color w:val="1A3A5C"/>
                <w:sz w:val="18"/>
                <w:szCs w:val="18"/>
              </w:rPr>
              <w:t xml:space="preserve">      "scope": "&lt;operational context&gt;",</w:t>
            </w:r>
          </w:p>
          <w:p>
            <w:pPr>
              <w:spacing w:before="0" w:after="30"/>
            </w:pPr>
            <w:r>
              <w:rPr>
                <w:rFonts w:ascii="Courier New" w:cs="Courier New" w:eastAsia="Courier New" w:hAnsi="Courier New"/>
                <w:color w:val="1A3A5C"/>
                <w:sz w:val="18"/>
                <w:szCs w:val="18"/>
              </w:rPr>
              <w:t xml:space="preserve">      "conditions": ["&lt;condition_1&gt;"],</w:t>
            </w:r>
          </w:p>
          <w:p>
            <w:pPr>
              <w:spacing w:before="0" w:after="30"/>
            </w:pPr>
            <w:r>
              <w:rPr>
                <w:rFonts w:ascii="Courier New" w:cs="Courier New" w:eastAsia="Courier New" w:hAnsi="Courier New"/>
                <w:color w:val="1A3A5C"/>
                <w:sz w:val="18"/>
                <w:szCs w:val="18"/>
              </w:rPr>
              <w:t xml:space="preserve">      "hard_limits": ["&lt;limit_1&gt;"],</w:t>
            </w:r>
          </w:p>
          <w:p>
            <w:pPr>
              <w:spacing w:before="0" w:after="30"/>
            </w:pPr>
            <w:r>
              <w:rPr>
                <w:rFonts w:ascii="Courier New" w:cs="Courier New" w:eastAsia="Courier New" w:hAnsi="Courier New"/>
                <w:color w:val="1A3A5C"/>
                <w:sz w:val="18"/>
                <w:szCs w:val="18"/>
              </w:rPr>
              <w:t xml:space="preserve">      "verified_at": "&lt;RFC 3339 UTC&gt;",</w:t>
            </w:r>
          </w:p>
          <w:p>
            <w:pPr>
              <w:spacing w:before="0" w:after="30"/>
            </w:pPr>
            <w:r>
              <w:rPr>
                <w:rFonts w:ascii="Courier New" w:cs="Courier New" w:eastAsia="Courier New" w:hAnsi="Courier New"/>
                <w:color w:val="1A3A5C"/>
                <w:sz w:val="18"/>
                <w:szCs w:val="18"/>
              </w:rPr>
              <w:t xml:space="preserve">      "evidence_hash": "&lt;SHA-256 of evidence bundle&gt;"</w:t>
            </w:r>
          </w:p>
          <w:p>
            <w:pPr>
              <w:spacing w:before="0" w:after="30"/>
            </w:pPr>
            <w:r>
              <w:rPr>
                <w:rFonts w:ascii="Courier New" w:cs="Courier New" w:eastAsia="Courier New" w:hAnsi="Courier New"/>
                <w:color w:val="1A3A5C"/>
                <w:sz w:val="18"/>
                <w:szCs w:val="18"/>
              </w:rPr>
              <w:t xml:space="preserve">    }</w:t>
            </w:r>
          </w:p>
          <w:p>
            <w:pPr>
              <w:spacing w:before="0" w:after="30"/>
            </w:pPr>
            <w:r>
              <w:rPr>
                <w:rFonts w:ascii="Courier New" w:cs="Courier New" w:eastAsia="Courier New" w:hAnsi="Courier New"/>
                <w:color w:val="1A3A5C"/>
                <w:sz w:val="18"/>
                <w:szCs w:val="18"/>
              </w:rPr>
              <w:t xml:space="preserve">  ],</w:t>
            </w:r>
          </w:p>
          <w:p>
            <w:pPr>
              <w:spacing w:before="0" w:after="30"/>
            </w:pPr>
            <w:r>
              <w:rPr>
                <w:rFonts w:ascii="Courier New" w:cs="Courier New" w:eastAsia="Courier New" w:hAnsi="Courier New"/>
                <w:color w:val="1A3A5C"/>
                <w:sz w:val="18"/>
                <w:szCs w:val="18"/>
              </w:rPr>
              <w:t xml:space="preserve">  "supervision_chain": {</w:t>
            </w:r>
          </w:p>
          <w:p>
            <w:pPr>
              <w:spacing w:before="0" w:after="30"/>
            </w:pPr>
            <w:r>
              <w:rPr>
                <w:rFonts w:ascii="Courier New" w:cs="Courier New" w:eastAsia="Courier New" w:hAnsi="Courier New"/>
                <w:color w:val="1A3A5C"/>
                <w:sz w:val="18"/>
                <w:szCs w:val="18"/>
              </w:rPr>
              <w:t xml:space="preserve">    "supervisor_contact_hash": "&lt;required for MACHINE and AI_AGENT&gt;",</w:t>
            </w:r>
          </w:p>
          <w:p>
            <w:pPr>
              <w:spacing w:before="0" w:after="30"/>
            </w:pPr>
            <w:r>
              <w:rPr>
                <w:rFonts w:ascii="Courier New" w:cs="Courier New" w:eastAsia="Courier New" w:hAnsi="Courier New"/>
                <w:color w:val="1A3A5C"/>
                <w:sz w:val="18"/>
                <w:szCs w:val="18"/>
              </w:rPr>
              <w:t xml:space="preserve">    "supervisor_trust_level_minimum": "L2 | L3",</w:t>
            </w:r>
          </w:p>
          <w:p>
            <w:pPr>
              <w:spacing w:before="0" w:after="30"/>
            </w:pPr>
            <w:r>
              <w:rPr>
                <w:rFonts w:ascii="Courier New" w:cs="Courier New" w:eastAsia="Courier New" w:hAnsi="Courier New"/>
                <w:color w:val="1A3A5C"/>
                <w:sz w:val="18"/>
                <w:szCs w:val="18"/>
              </w:rPr>
              <w:t xml:space="preserve">    "supervisor_capability_required": "&lt;capability_id&gt;",</w:t>
            </w:r>
          </w:p>
          <w:p>
            <w:pPr>
              <w:spacing w:before="0" w:after="30"/>
            </w:pPr>
            <w:r>
              <w:rPr>
                <w:rFonts w:ascii="Courier New" w:cs="Courier New" w:eastAsia="Courier New" w:hAnsi="Courier New"/>
                <w:color w:val="1A3A5C"/>
                <w:sz w:val="18"/>
                <w:szCs w:val="18"/>
              </w:rPr>
              <w:t xml:space="preserve">    "dfa_policy_hash": "&lt;OPTIONAL — SHA-256 of DFA policy document&gt;"</w:t>
            </w:r>
          </w:p>
          <w:p>
            <w:pPr>
              <w:spacing w:before="0" w:after="30"/>
            </w:pPr>
            <w:r>
              <w:rPr>
                <w:rFonts w:ascii="Courier New" w:cs="Courier New" w:eastAsia="Courier New" w:hAnsi="Courier New"/>
                <w:color w:val="1A3A5C"/>
                <w:sz w:val="18"/>
                <w:szCs w:val="18"/>
              </w:rPr>
              <w:t xml:space="preserve">  },</w:t>
            </w:r>
          </w:p>
          <w:p>
            <w:pPr>
              <w:spacing w:before="0" w:after="30"/>
            </w:pPr>
            <w:r>
              <w:rPr>
                <w:rFonts w:ascii="Courier New" w:cs="Courier New" w:eastAsia="Courier New" w:hAnsi="Courier New"/>
                <w:color w:val="1A3A5C"/>
                <w:sz w:val="18"/>
                <w:szCs w:val="18"/>
              </w:rPr>
              <w:t xml:space="preserve">  "operational_budget": {</w:t>
            </w:r>
          </w:p>
          <w:p>
            <w:pPr>
              <w:spacing w:before="0" w:after="30"/>
            </w:pPr>
            <w:r>
              <w:rPr>
                <w:rFonts w:ascii="Courier New" w:cs="Courier New" w:eastAsia="Courier New" w:hAnsi="Courier New"/>
                <w:color w:val="1A3A5C"/>
                <w:sz w:val="18"/>
                <w:szCs w:val="18"/>
              </w:rPr>
              <w:t xml:space="preserve">    "budget_currency": "USD | AUD | ...",</w:t>
            </w:r>
          </w:p>
          <w:p>
            <w:pPr>
              <w:spacing w:before="0" w:after="30"/>
            </w:pPr>
            <w:r>
              <w:rPr>
                <w:rFonts w:ascii="Courier New" w:cs="Courier New" w:eastAsia="Courier New" w:hAnsi="Courier New"/>
                <w:color w:val="1A3A5C"/>
                <w:sz w:val="18"/>
                <w:szCs w:val="18"/>
              </w:rPr>
              <w:t xml:space="preserve">    "budget_limit": 0,</w:t>
            </w:r>
          </w:p>
          <w:p>
            <w:pPr>
              <w:spacing w:before="0" w:after="30"/>
            </w:pPr>
            <w:r>
              <w:rPr>
                <w:rFonts w:ascii="Courier New" w:cs="Courier New" w:eastAsia="Courier New" w:hAnsi="Courier New"/>
                <w:color w:val="1A3A5C"/>
                <w:sz w:val="18"/>
                <w:szCs w:val="18"/>
              </w:rPr>
              <w:t xml:space="preserve">    "budget_period": "daily | weekly | per_deployment",</w:t>
            </w:r>
          </w:p>
          <w:p>
            <w:pPr>
              <w:spacing w:before="0" w:after="30"/>
            </w:pPr>
            <w:r>
              <w:rPr>
                <w:rFonts w:ascii="Courier New" w:cs="Courier New" w:eastAsia="Courier New" w:hAnsi="Courier New"/>
                <w:color w:val="1A3A5C"/>
                <w:sz w:val="18"/>
                <w:szCs w:val="18"/>
              </w:rPr>
              <w:t xml:space="preserve">    "on_budget_exceeded": "PAUSE | STOP | REQUEST_AUTHORISATION"</w:t>
            </w:r>
          </w:p>
          <w:p>
            <w:pPr>
              <w:spacing w:before="0" w:after="30"/>
            </w:pPr>
            <w:r>
              <w:rPr>
                <w:rFonts w:ascii="Courier New" w:cs="Courier New" w:eastAsia="Courier New" w:hAnsi="Courier New"/>
                <w:color w:val="1A3A5C"/>
                <w:sz w:val="18"/>
                <w:szCs w:val="18"/>
              </w:rPr>
              <w:t xml:space="preserve">  },</w:t>
            </w:r>
          </w:p>
          <w:p>
            <w:pPr>
              <w:spacing w:before="0" w:after="30"/>
            </w:pPr>
            <w:r>
              <w:rPr>
                <w:rFonts w:ascii="Courier New" w:cs="Courier New" w:eastAsia="Courier New" w:hAnsi="Courier New"/>
                <w:color w:val="1A3A5C"/>
                <w:sz w:val="18"/>
                <w:szCs w:val="18"/>
              </w:rPr>
              <w:t xml:space="preserve">  "ephemeral_rollup_eligible": true,</w:t>
            </w:r>
          </w:p>
          <w:p>
            <w:pPr>
              <w:spacing w:before="0" w:after="30"/>
            </w:pPr>
            <w:r>
              <w:rPr>
                <w:rFonts w:ascii="Courier New" w:cs="Courier New" w:eastAsia="Courier New" w:hAnsi="Courier New"/>
                <w:color w:val="1A3A5C"/>
                <w:sz w:val="18"/>
                <w:szCs w:val="18"/>
              </w:rPr>
              <w:t xml:space="preserve">  "ephemeral_rollup_max_batch": 1000,</w:t>
            </w:r>
          </w:p>
          <w:p>
            <w:pPr>
              <w:spacing w:before="0" w:after="30"/>
            </w:pPr>
            <w:r>
              <w:rPr>
                <w:rFonts w:ascii="Courier New" w:cs="Courier New" w:eastAsia="Courier New" w:hAnsi="Courier New"/>
                <w:color w:val="1A3A5C"/>
                <w:sz w:val="18"/>
                <w:szCs w:val="18"/>
              </w:rPr>
              <w:t xml:space="preserve">  "envelope_hash": "&lt;SHA-256 of all fields above in canonical form&gt;"</w:t>
            </w:r>
          </w:p>
          <w:p>
            <w:pPr>
              <w:spacing w:before="0" w:after="30"/>
            </w:pPr>
            <w:r>
              <w:rPr>
                <w:rFonts w:ascii="Courier New" w:cs="Courier New" w:eastAsia="Courier New" w:hAnsi="Courier New"/>
                <w:color w:val="1A3A5C"/>
                <w:sz w:val="18"/>
                <w:szCs w:val="18"/>
              </w:rPr>
              <w:t xml:space="preserve">}</w:t>
            </w:r>
          </w:p>
        </w:tc>
      </w:tr>
    </w:tbl>
    <w:p>
      <w:pPr>
        <w:pStyle w:val="Heading2"/>
        <w:spacing w:before="280" w:after="120"/>
      </w:pPr>
      <w:r>
        <w:rPr>
          <w:rFonts w:ascii="Arial" w:cs="Arial" w:eastAsia="Arial" w:hAnsi="Arial"/>
          <w:b/>
          <w:bCs/>
          <w:color w:val="1A3A5C"/>
          <w:sz w:val="28"/>
          <w:szCs w:val="28"/>
        </w:rPr>
        <w:t xml:space="preserve">6.3 Envelope Integrity Checks</w:t>
      </w:r>
    </w:p>
    <w:p>
      <w:pPr>
        <w:spacing w:before="120" w:after="120"/>
        <w:jc w:val="left"/>
      </w:pPr>
      <w:r>
        <w:rPr>
          <w:rFonts w:ascii="Arial" w:cs="Arial" w:eastAsia="Arial" w:hAnsi="Arial"/>
          <w:b w:val="false"/>
          <w:bCs w:val="false"/>
          <w:i w:val="false"/>
          <w:iCs w:val="false"/>
          <w:color w:val="000000"/>
          <w:sz w:val="22"/>
          <w:szCs w:val="22"/>
        </w:rPr>
        <w:t xml:space="preserve">Before any actor begins operating, the following checks MUST pass in order:</w:t>
      </w:r>
    </w:p>
    <w:p>
      <w:pPr>
        <w:pStyle w:val="ListParagraph"/>
        <w:numPr>
          <w:ilvl w:val="0"/>
          <w:numId w:val="3"/>
        </w:numPr>
        <w:spacing w:before="60" w:after="60"/>
      </w:pPr>
      <w:r>
        <w:rPr>
          <w:rFonts w:ascii="Arial" w:cs="Arial" w:eastAsia="Arial" w:hAnsi="Arial"/>
          <w:color w:val="000000"/>
          <w:sz w:val="22"/>
          <w:szCs w:val="22"/>
        </w:rPr>
        <w:t xml:space="preserve">Recompute envelope_hash and verify it matches the stored value</w:t>
      </w:r>
    </w:p>
    <w:p>
      <w:pPr>
        <w:pStyle w:val="ListParagraph"/>
        <w:numPr>
          <w:ilvl w:val="0"/>
          <w:numId w:val="3"/>
        </w:numPr>
        <w:spacing w:before="60" w:after="60"/>
      </w:pPr>
      <w:r>
        <w:rPr>
          <w:rFonts w:ascii="Arial" w:cs="Arial" w:eastAsia="Arial" w:hAnsi="Arial"/>
          <w:color w:val="000000"/>
          <w:sz w:val="22"/>
          <w:szCs w:val="22"/>
        </w:rPr>
        <w:t xml:space="preserve">Verify authority_signature using the issuing authority's published public key</w:t>
      </w:r>
    </w:p>
    <w:p>
      <w:pPr>
        <w:pStyle w:val="ListParagraph"/>
        <w:numPr>
          <w:ilvl w:val="0"/>
          <w:numId w:val="3"/>
        </w:numPr>
        <w:spacing w:before="60" w:after="60"/>
      </w:pPr>
      <w:r>
        <w:rPr>
          <w:rFonts w:ascii="Arial" w:cs="Arial" w:eastAsia="Arial" w:hAnsi="Arial"/>
          <w:color w:val="000000"/>
          <w:sz w:val="22"/>
          <w:szCs w:val="22"/>
        </w:rPr>
        <w:t xml:space="preserve">Verify current UTC time is between issued_at and expires_at</w:t>
      </w:r>
    </w:p>
    <w:p>
      <w:pPr>
        <w:pStyle w:val="ListParagraph"/>
        <w:numPr>
          <w:ilvl w:val="0"/>
          <w:numId w:val="3"/>
        </w:numPr>
        <w:spacing w:before="60" w:after="60"/>
      </w:pPr>
      <w:r>
        <w:rPr>
          <w:rFonts w:ascii="Arial" w:cs="Arial" w:eastAsia="Arial" w:hAnsi="Arial"/>
          <w:color w:val="000000"/>
          <w:sz w:val="22"/>
          <w:szCs w:val="22"/>
        </w:rPr>
        <w:t xml:space="preserve">For MACHINE and AI_AGENT: verify running software image hash matches certified hash in active capabilities</w:t>
      </w:r>
    </w:p>
    <w:p>
      <w:pPr>
        <w:pStyle w:val="ListParagraph"/>
        <w:numPr>
          <w:ilvl w:val="0"/>
          <w:numId w:val="3"/>
        </w:numPr>
        <w:spacing w:before="60" w:after="60"/>
      </w:pPr>
      <w:r>
        <w:rPr>
          <w:rFonts w:ascii="Arial" w:cs="Arial" w:eastAsia="Arial" w:hAnsi="Arial"/>
          <w:color w:val="000000"/>
          <w:sz w:val="22"/>
          <w:szCs w:val="22"/>
        </w:rPr>
        <w:t xml:space="preserve">For MACHINE and AI_AGENT: verify supervision chain reference resolves to an active L2 or L3 human actor</w:t>
      </w:r>
    </w:p>
    <w:p>
      <w:pPr>
        <w:pStyle w:val="ListParagraph"/>
        <w:numPr>
          <w:ilvl w:val="0"/>
          <w:numId w:val="3"/>
        </w:numPr>
        <w:spacing w:before="60" w:after="60"/>
      </w:pPr>
      <w:r>
        <w:rPr>
          <w:rFonts w:ascii="Arial" w:cs="Arial" w:eastAsia="Arial" w:hAnsi="Arial"/>
          <w:color w:val="000000"/>
          <w:sz w:val="22"/>
          <w:szCs w:val="22"/>
        </w:rPr>
        <w:t xml:space="preserve">For MACHINE and AI_AGENT with DFA: verify dfa_policy_hash resolves to a valid, unexpired DFA policy</w:t>
      </w:r>
    </w:p>
    <w:p>
      <w:pPr>
        <w:spacing w:before="120" w:after="120"/>
        <w:jc w:val="left"/>
      </w:pPr>
      <w:r>
        <w:rPr>
          <w:rFonts w:ascii="Arial" w:cs="Arial" w:eastAsia="Arial" w:hAnsi="Arial"/>
          <w:b w:val="false"/>
          <w:bCs w:val="false"/>
          <w:i w:val="false"/>
          <w:iCs w:val="false"/>
          <w:color w:val="000000"/>
          <w:sz w:val="22"/>
          <w:szCs w:val="22"/>
        </w:rPr>
        <w:t xml:space="preserve">If any check fails, the actor MUST NOT begin operating and MUST record an envelope_integrity_failure chain event.</w:t>
      </w:r>
    </w:p>
    <w:p>
      <w:pPr>
        <w:pStyle w:val="Heading2"/>
        <w:spacing w:before="280" w:after="120"/>
      </w:pPr>
      <w:r>
        <w:rPr>
          <w:rFonts w:ascii="Arial" w:cs="Arial" w:eastAsia="Arial" w:hAnsi="Arial"/>
          <w:b/>
          <w:bCs/>
          <w:color w:val="1A3A5C"/>
          <w:sz w:val="28"/>
          <w:szCs w:val="28"/>
        </w:rPr>
        <w:t xml:space="preserve">6.4 Ephemeral Rollup Eligibility</w:t>
      </w:r>
    </w:p>
    <w:p>
      <w:pPr>
        <w:spacing w:before="120" w:after="120"/>
        <w:jc w:val="left"/>
      </w:pPr>
      <w:r>
        <w:rPr>
          <w:rFonts w:ascii="Arial" w:cs="Arial" w:eastAsia="Arial" w:hAnsi="Arial"/>
          <w:b w:val="false"/>
          <w:bCs w:val="false"/>
          <w:i w:val="false"/>
          <w:iCs w:val="false"/>
          <w:color w:val="000000"/>
          <w:sz w:val="22"/>
          <w:szCs w:val="22"/>
        </w:rPr>
        <w:t xml:space="preserve">A capability item is eligible for ephemeral rollup batching if the envelope declares ephemeral_rollup_eligible: true AND the event meets all of the following conditions:</w:t>
      </w:r>
    </w:p>
    <w:p>
      <w:pPr>
        <w:pStyle w:val="ListParagraph"/>
        <w:numPr>
          <w:ilvl w:val="0"/>
          <w:numId w:val="2"/>
        </w:numPr>
        <w:spacing w:before="60" w:after="60"/>
      </w:pPr>
      <w:r>
        <w:rPr>
          <w:rFonts w:ascii="Arial" w:cs="Arial" w:eastAsia="Arial" w:hAnsi="Arial"/>
          <w:color w:val="000000"/>
          <w:sz w:val="22"/>
          <w:szCs w:val="22"/>
        </w:rPr>
        <w:t xml:space="preserve">The event type is capability_used</w:t>
      </w:r>
    </w:p>
    <w:p>
      <w:pPr>
        <w:pStyle w:val="ListParagraph"/>
        <w:numPr>
          <w:ilvl w:val="0"/>
          <w:numId w:val="2"/>
        </w:numPr>
        <w:spacing w:before="60" w:after="60"/>
      </w:pPr>
      <w:r>
        <w:rPr>
          <w:rFonts w:ascii="Arial" w:cs="Arial" w:eastAsia="Arial" w:hAnsi="Arial"/>
          <w:color w:val="000000"/>
          <w:sz w:val="22"/>
          <w:szCs w:val="22"/>
        </w:rPr>
        <w:t xml:space="preserve">The capability_id maps to a scope classified as routine and non-safety-critical in the issuing corpus</w:t>
      </w:r>
    </w:p>
    <w:p>
      <w:pPr>
        <w:pStyle w:val="ListParagraph"/>
        <w:numPr>
          <w:ilvl w:val="0"/>
          <w:numId w:val="2"/>
        </w:numPr>
        <w:spacing w:before="60" w:after="60"/>
      </w:pPr>
      <w:r>
        <w:rPr>
          <w:rFonts w:ascii="Arial" w:cs="Arial" w:eastAsia="Arial" w:hAnsi="Arial"/>
          <w:color w:val="000000"/>
          <w:sz w:val="22"/>
          <w:szCs w:val="22"/>
        </w:rPr>
        <w:t xml:space="preserve">No hard limit breach is associated with the event</w:t>
      </w:r>
    </w:p>
    <w:p>
      <w:pPr>
        <w:pStyle w:val="ListParagraph"/>
        <w:numPr>
          <w:ilvl w:val="0"/>
          <w:numId w:val="2"/>
        </w:numPr>
        <w:spacing w:before="60" w:after="60"/>
      </w:pPr>
      <w:r>
        <w:rPr>
          <w:rFonts w:ascii="Arial" w:cs="Arial" w:eastAsia="Arial" w:hAnsi="Arial"/>
          <w:color w:val="000000"/>
          <w:sz w:val="22"/>
          <w:szCs w:val="22"/>
        </w:rPr>
        <w:t xml:space="preserve">No human authorisation was required for the act</w:t>
      </w:r>
    </w:p>
    <w:p>
      <w:pPr>
        <w:spacing w:before="120" w:after="120"/>
        <w:jc w:val="left"/>
      </w:pPr>
      <w:r>
        <w:rPr>
          <w:rFonts w:ascii="Arial" w:cs="Arial" w:eastAsia="Arial" w:hAnsi="Arial"/>
          <w:b w:val="false"/>
          <w:bCs w:val="false"/>
          <w:i w:val="false"/>
          <w:iCs w:val="false"/>
          <w:color w:val="000000"/>
          <w:sz w:val="22"/>
          <w:szCs w:val="22"/>
        </w:rPr>
        <w:t xml:space="preserve">Events that do not meet all four conditions MUST be written to the vault synchronously. The issuing authority is responsible for defining which capability scopes are eligible. Eligibility cannot be self-declared by the actor.</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7. Chain Event Schema</w:t>
      </w:r>
    </w:p>
    <w:p>
      <w:pPr>
        <w:pStyle w:val="Heading2"/>
        <w:spacing w:before="280" w:after="120"/>
      </w:pPr>
      <w:r>
        <w:rPr>
          <w:rFonts w:ascii="Arial" w:cs="Arial" w:eastAsia="Arial" w:hAnsi="Arial"/>
          <w:b/>
          <w:bCs/>
          <w:color w:val="1A3A5C"/>
          <w:sz w:val="28"/>
          <w:szCs w:val="28"/>
        </w:rPr>
        <w:t xml:space="preserve">7.1 Base Event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8" w:val="clear"/>
            <w:tcMar>
              <w:top w:type="dxa" w:w="120"/>
              <w:left w:type="dxa" w:w="240"/>
              <w:bottom w:type="dxa" w:w="120"/>
              <w:right w:type="dxa" w:w="240"/>
            </w:tcMar>
          </w:tcPr>
          <w:p>
            <w:pPr>
              <w:spacing w:before="0" w:after="30"/>
            </w:pPr>
            <w:r>
              <w:rPr>
                <w:rFonts w:ascii="Courier New" w:cs="Courier New" w:eastAsia="Courier New" w:hAnsi="Courier New"/>
                <w:color w:val="1A3A5C"/>
                <w:sz w:val="18"/>
                <w:szCs w:val="18"/>
              </w:rPr>
              <w:t xml:space="preserve">{</w:t>
            </w:r>
          </w:p>
          <w:p>
            <w:pPr>
              <w:spacing w:before="0" w:after="30"/>
            </w:pPr>
            <w:r>
              <w:rPr>
                <w:rFonts w:ascii="Courier New" w:cs="Courier New" w:eastAsia="Courier New" w:hAnsi="Courier New"/>
                <w:color w:val="1A3A5C"/>
                <w:sz w:val="18"/>
                <w:szCs w:val="18"/>
              </w:rPr>
              <w:t xml:space="preserve">  "event_id":          "&lt;UUID v4&gt;",</w:t>
            </w:r>
          </w:p>
          <w:p>
            <w:pPr>
              <w:spacing w:before="0" w:after="30"/>
            </w:pPr>
            <w:r>
              <w:rPr>
                <w:rFonts w:ascii="Courier New" w:cs="Courier New" w:eastAsia="Courier New" w:hAnsi="Courier New"/>
                <w:color w:val="1A3A5C"/>
                <w:sz w:val="18"/>
                <w:szCs w:val="18"/>
              </w:rPr>
              <w:t xml:space="preserve">  "event_type":        "&lt;see Section 7.2&gt;",</w:t>
            </w:r>
          </w:p>
          <w:p>
            <w:pPr>
              <w:spacing w:before="0" w:after="30"/>
            </w:pPr>
            <w:r>
              <w:rPr>
                <w:rFonts w:ascii="Courier New" w:cs="Courier New" w:eastAsia="Courier New" w:hAnsi="Courier New"/>
                <w:color w:val="1A3A5C"/>
                <w:sz w:val="18"/>
                <w:szCs w:val="18"/>
              </w:rPr>
              <w:t xml:space="preserve">  "actor_contact_hash": "&lt;actor DID&gt;",</w:t>
            </w:r>
          </w:p>
          <w:p>
            <w:pPr>
              <w:spacing w:before="0" w:after="30"/>
            </w:pPr>
            <w:r>
              <w:rPr>
                <w:rFonts w:ascii="Courier New" w:cs="Courier New" w:eastAsia="Courier New" w:hAnsi="Courier New"/>
                <w:color w:val="1A3A5C"/>
                <w:sz w:val="18"/>
                <w:szCs w:val="18"/>
              </w:rPr>
              <w:t xml:space="preserve">  "timestamp_utc":     "&lt;RFC 3339 UTC — moment of occurrence&gt;",</w:t>
            </w:r>
          </w:p>
          <w:p>
            <w:pPr>
              <w:spacing w:before="0" w:after="30"/>
            </w:pPr>
            <w:r>
              <w:rPr>
                <w:rFonts w:ascii="Courier New" w:cs="Courier New" w:eastAsia="Courier New" w:hAnsi="Courier New"/>
                <w:color w:val="1A3A5C"/>
                <w:sz w:val="18"/>
                <w:szCs w:val="18"/>
              </w:rPr>
              <w:t xml:space="preserve">  "sync_timestamp_utc": "&lt;RFC 3339 UTC — moment of vault write, OPTIONAL if same&gt;",</w:t>
            </w:r>
          </w:p>
          <w:p>
            <w:pPr>
              <w:spacing w:before="0" w:after="30"/>
            </w:pPr>
            <w:r>
              <w:rPr>
                <w:rFonts w:ascii="Courier New" w:cs="Courier New" w:eastAsia="Courier New" w:hAnsi="Courier New"/>
                <w:color w:val="1A3A5C"/>
                <w:sz w:val="18"/>
                <w:szCs w:val="18"/>
              </w:rPr>
              <w:t xml:space="preserve">  "parent_hash":       "&lt;SHA-256 of previous event — null for genesis&gt;",</w:t>
            </w:r>
          </w:p>
          <w:p>
            <w:pPr>
              <w:spacing w:before="0" w:after="30"/>
            </w:pPr>
            <w:r>
              <w:rPr>
                <w:rFonts w:ascii="Courier New" w:cs="Courier New" w:eastAsia="Courier New" w:hAnsi="Courier New"/>
                <w:color w:val="1A3A5C"/>
                <w:sz w:val="18"/>
                <w:szCs w:val="18"/>
              </w:rPr>
              <w:t xml:space="preserve">  "payload_hash":      "&lt;SHA-256 of payload field&gt;",</w:t>
            </w:r>
          </w:p>
          <w:p>
            <w:pPr>
              <w:spacing w:before="0" w:after="30"/>
            </w:pPr>
            <w:r>
              <w:rPr>
                <w:rFonts w:ascii="Courier New" w:cs="Courier New" w:eastAsia="Courier New" w:hAnsi="Courier New"/>
                <w:color w:val="1A3A5C"/>
                <w:sz w:val="18"/>
                <w:szCs w:val="18"/>
              </w:rPr>
              <w:t xml:space="preserve">  "event_hash":        "SHA-256(parent_hash||event_type||timestamp_utc||payload_hash)",</w:t>
            </w:r>
          </w:p>
          <w:p>
            <w:pPr>
              <w:spacing w:before="0" w:after="30"/>
            </w:pPr>
            <w:r>
              <w:rPr>
                <w:rFonts w:ascii="Courier New" w:cs="Courier New" w:eastAsia="Courier New" w:hAnsi="Courier New"/>
                <w:color w:val="1A3A5C"/>
                <w:sz w:val="18"/>
                <w:szCs w:val="18"/>
              </w:rPr>
              <w:t xml:space="preserve">  "payload":           { /* event-type-specific — see Section 7.3 */ },</w:t>
            </w:r>
          </w:p>
          <w:p>
            <w:pPr>
              <w:spacing w:before="0" w:after="30"/>
            </w:pPr>
            <w:r>
              <w:rPr>
                <w:rFonts w:ascii="Courier New" w:cs="Courier New" w:eastAsia="Courier New" w:hAnsi="Courier New"/>
                <w:color w:val="1A3A5C"/>
                <w:sz w:val="18"/>
                <w:szCs w:val="18"/>
              </w:rPr>
              <w:t xml:space="preserve">  "issuing_authority": "&lt;authority DID&gt;",</w:t>
            </w:r>
          </w:p>
          <w:p>
            <w:pPr>
              <w:spacing w:before="0" w:after="30"/>
            </w:pPr>
            <w:r>
              <w:rPr>
                <w:rFonts w:ascii="Courier New" w:cs="Courier New" w:eastAsia="Courier New" w:hAnsi="Courier New"/>
                <w:color w:val="1A3A5C"/>
                <w:sz w:val="18"/>
                <w:szCs w:val="18"/>
              </w:rPr>
              <w:t xml:space="preserve">  "authority_signature": "&lt;Ed25519 signature over event_hash&gt;"</w:t>
            </w:r>
          </w:p>
          <w:p>
            <w:pPr>
              <w:spacing w:before="0" w:after="30"/>
            </w:pPr>
            <w:r>
              <w:rPr>
                <w:rFonts w:ascii="Courier New" w:cs="Courier New" w:eastAsia="Courier New" w:hAnsi="Courier New"/>
                <w:color w:val="1A3A5C"/>
                <w:sz w:val="18"/>
                <w:szCs w:val="18"/>
              </w:rPr>
              <w:t xml:space="preserve">}</w:t>
            </w:r>
          </w:p>
        </w:tc>
      </w:tr>
    </w:tbl>
    <w:p>
      <w:pPr>
        <w:spacing w:before="120" w:after="120"/>
        <w:jc w:val="left"/>
      </w:pPr>
      <w:r>
        <w:rPr>
          <w:rFonts w:ascii="Arial" w:cs="Arial" w:eastAsia="Arial" w:hAnsi="Arial"/>
          <w:b w:val="false"/>
          <w:bCs w:val="false"/>
          <w:i/>
          <w:iCs/>
          <w:color w:val="000000"/>
          <w:sz w:val="22"/>
          <w:szCs w:val="22"/>
        </w:rPr>
        <w:t xml:space="preserve">The distinction between timestamp_utc and sync_timestamp_utc is normatively required. All records show UTC time of occurrence. Connectivity gaps are transparent in the chain — the chain is honest about when it could and could not synchronise.</w:t>
      </w:r>
    </w:p>
    <w:p>
      <w:pPr>
        <w:pStyle w:val="Heading2"/>
        <w:spacing w:before="280" w:after="120"/>
      </w:pPr>
      <w:r>
        <w:rPr>
          <w:rFonts w:ascii="Arial" w:cs="Arial" w:eastAsia="Arial" w:hAnsi="Arial"/>
          <w:b/>
          <w:bCs/>
          <w:color w:val="1A3A5C"/>
          <w:sz w:val="28"/>
          <w:szCs w:val="28"/>
        </w:rPr>
        <w:t xml:space="preserve">7.2 Normative Event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Event Type</w:t>
            </w:r>
          </w:p>
        </w:tc>
        <w:tc>
          <w:tcPr>
            <w:tcW w:type="dxa" w:w="63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Description</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chain_genesis</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First event. Identity verification and initial capability envelope hash. Parent hash is null.</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capability_used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Tier 3. Actor performed a certified act. Full cryptographic node. Immutable.</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capability_request</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Actor reached boundary of envelope. Requesting human authorisation or authority upgrade.</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capability_authorised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Authorising actor approved a capability request. References requesting actor's event_id and authoriser's chain tip.</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capability_denied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Authorising actor denied a capability request.</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capability_added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New capability added to actor's envelope. Records new capability_id and evidence_hash.</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capability_removed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Capability removed. Records reason and authority signature.</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capability_renewed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Capability recertified. Links previous and new envelope hashes.</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record_verified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Actor's capability record verified by a relying party. Tier 2.</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chain_accessed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Actor's capability record accessed. Informational. Tier 2.</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evidence_uploaded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Evidence bundle uploaded. Records evidence_hash only. Never the evidence.</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evidence_accessed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Evidence bundle accessed. Records accessor, purpose declaration, and timestamp.</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evidence_destroyed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K1 destroyed. Evidence permanently unreadable. This event IS the GDPR erasure record. Revocation propagation initiated.</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trust_level_assigned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Actor trust level changed. Records previous level, new level, and reason.</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k2_delivered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K2 component delivered to actor's physical device. Trust level upgrade triggered.</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k2_reissued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K2 reissued to new device. Previous device binding invalidated.</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supervision_assigned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Supervisor actor linked to this actor's chain.</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supervision_changed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Supervisor changed. Simultaneous acceptance from incoming supervisor required.</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supervisor_grace_period_active</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Supervisor chain has expired or been suspended. 24-hour grace period initiated. All dependent DFA policies remain valid during grace period. Logged for auditor transparency.</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dfa_limit_exceeded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An aggregate DFA policy limit was breached. Fleet or specific actor suspended pending re-authorisation.</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ephemeral_rollup_commit</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Merkle root of a batch of eligible low-risk Tier 3 events written to vault. Payload includes Merkle root, event count, and time range.</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state_reconciliation</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Distributed Saga rollback. See Section 7.4 for required payload fields.</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envelope_integrity_failure</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Runtime envelope integrity check failed. Actor suspended immediately.</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attestation_failure</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Non-human actor heartbeat failed or failed verification. Records last known good state.</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revocation_propagation_initiated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Issued upon chain_revoked. Signals relying parties to invalidate cached portable proofs. See Section 11.</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chain_suspended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Capability envelope suspended. Tier 3 interactions blocked.</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chain_reinstated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Suspension lifted. Capability envelope restored.</w:t>
            </w:r>
          </w:p>
        </w:tc>
      </w:tr>
      <w:tr>
        <w:tc>
          <w:tcPr>
            <w:tcW w:type="dxa" w:w="30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Courier New" w:cs="Courier New" w:eastAsia="Courier New" w:hAnsi="Courier New"/>
                <w:b w:val="false"/>
                <w:bCs w:val="false"/>
                <w:color w:val="1A3A5C"/>
                <w:sz w:val="18"/>
                <w:szCs w:val="18"/>
              </w:rPr>
              <w:t xml:space="preserve">chain_revoked</w:t>
            </w:r>
          </w:p>
        </w:tc>
        <w:tc>
          <w:tcPr>
            <w:tcW w:type="dxa" w:w="6360"/>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Chain closed. K1 destroyed. Irrecoverable. Revocation propagation automatically initiated.</w:t>
            </w:r>
          </w:p>
        </w:tc>
      </w:tr>
    </w:tbl>
    <w:p>
      <w:pPr>
        <w:spacing w:before="120" w:after="120"/>
      </w:pPr>
      <w:r>
        <w:t xml:space="preserve"/>
      </w:r>
    </w:p>
    <w:p>
      <w:pPr>
        <w:pStyle w:val="Heading2"/>
        <w:spacing w:before="280" w:after="120"/>
      </w:pPr>
      <w:r>
        <w:rPr>
          <w:rFonts w:ascii="Arial" w:cs="Arial" w:eastAsia="Arial" w:hAnsi="Arial"/>
          <w:b/>
          <w:bCs/>
          <w:color w:val="1A3A5C"/>
          <w:sz w:val="28"/>
          <w:szCs w:val="28"/>
        </w:rPr>
        <w:t xml:space="preserve">7.3 Evidence Destroyed Payload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8" w:val="clear"/>
            <w:tcMar>
              <w:top w:type="dxa" w:w="120"/>
              <w:left w:type="dxa" w:w="240"/>
              <w:bottom w:type="dxa" w:w="120"/>
              <w:right w:type="dxa" w:w="240"/>
            </w:tcMar>
          </w:tcPr>
          <w:p>
            <w:pPr>
              <w:spacing w:before="0" w:after="30"/>
            </w:pPr>
            <w:r>
              <w:rPr>
                <w:rFonts w:ascii="Courier New" w:cs="Courier New" w:eastAsia="Courier New" w:hAnsi="Courier New"/>
                <w:color w:val="1A3A5C"/>
                <w:sz w:val="18"/>
                <w:szCs w:val="18"/>
              </w:rPr>
              <w:t xml:space="preserve">{</w:t>
            </w:r>
          </w:p>
          <w:p>
            <w:pPr>
              <w:spacing w:before="0" w:after="30"/>
            </w:pPr>
            <w:r>
              <w:rPr>
                <w:rFonts w:ascii="Courier New" w:cs="Courier New" w:eastAsia="Courier New" w:hAnsi="Courier New"/>
                <w:color w:val="1A3A5C"/>
                <w:sz w:val="18"/>
                <w:szCs w:val="18"/>
              </w:rPr>
              <w:t xml:space="preserve">  "event_type":             "evidence_destroyed",</w:t>
            </w:r>
          </w:p>
          <w:p>
            <w:pPr>
              <w:spacing w:before="0" w:after="30"/>
            </w:pPr>
            <w:r>
              <w:rPr>
                <w:rFonts w:ascii="Courier New" w:cs="Courier New" w:eastAsia="Courier New" w:hAnsi="Courier New"/>
                <w:color w:val="1A3A5C"/>
                <w:sz w:val="18"/>
                <w:szCs w:val="18"/>
              </w:rPr>
              <w:t xml:space="preserve">  "deleted_evidence_hash":  "&lt;SHA-256 of original evidence bundle&gt;",</w:t>
            </w:r>
          </w:p>
          <w:p>
            <w:pPr>
              <w:spacing w:before="0" w:after="30"/>
            </w:pPr>
            <w:r>
              <w:rPr>
                <w:rFonts w:ascii="Courier New" w:cs="Courier New" w:eastAsia="Courier New" w:hAnsi="Courier New"/>
                <w:color w:val="1A3A5C"/>
                <w:sz w:val="18"/>
                <w:szCs w:val="18"/>
              </w:rPr>
              <w:t xml:space="preserve">  "k1_destruction_proof":   "&lt;cryptographic proof of K1 destruction from HSM audit log&gt;",</w:t>
            </w:r>
          </w:p>
          <w:p>
            <w:pPr>
              <w:spacing w:before="0" w:after="30"/>
            </w:pPr>
            <w:r>
              <w:rPr>
                <w:rFonts w:ascii="Courier New" w:cs="Courier New" w:eastAsia="Courier New" w:hAnsi="Courier New"/>
                <w:color w:val="1A3A5C"/>
                <w:sz w:val="18"/>
                <w:szCs w:val="18"/>
              </w:rPr>
              <w:t xml:space="preserve">  "destruction_authority":  "&lt;DID of entity executing destruction&gt;",</w:t>
            </w:r>
          </w:p>
          <w:p>
            <w:pPr>
              <w:spacing w:before="0" w:after="30"/>
            </w:pPr>
            <w:r>
              <w:rPr>
                <w:rFonts w:ascii="Courier New" w:cs="Courier New" w:eastAsia="Courier New" w:hAnsi="Courier New"/>
                <w:color w:val="1A3A5C"/>
                <w:sz w:val="18"/>
                <w:szCs w:val="18"/>
              </w:rPr>
              <w:t xml:space="preserve">  "legal_basis":            "GDPR Art.17 | APP 11 | BIPA | other",</w:t>
            </w:r>
          </w:p>
          <w:p>
            <w:pPr>
              <w:spacing w:before="0" w:after="30"/>
            </w:pPr>
            <w:r>
              <w:rPr>
                <w:rFonts w:ascii="Courier New" w:cs="Courier New" w:eastAsia="Courier New" w:hAnsi="Courier New"/>
                <w:color w:val="1A3A5C"/>
                <w:sz w:val="18"/>
                <w:szCs w:val="18"/>
              </w:rPr>
              <w:t xml:space="preserve">  "evidence_retention_end": "&lt;RFC 3339 UTC — scheduled or actual&gt;"</w:t>
            </w:r>
          </w:p>
          <w:p>
            <w:pPr>
              <w:spacing w:before="0" w:after="30"/>
            </w:pPr>
            <w:r>
              <w:rPr>
                <w:rFonts w:ascii="Courier New" w:cs="Courier New" w:eastAsia="Courier New" w:hAnsi="Courier New"/>
                <w:color w:val="1A3A5C"/>
                <w:sz w:val="18"/>
                <w:szCs w:val="18"/>
              </w:rPr>
              <w:t xml:space="preserve">}</w:t>
            </w:r>
          </w:p>
        </w:tc>
      </w:tr>
    </w:tbl>
    <w:p>
      <w:pPr>
        <w:pStyle w:val="Heading2"/>
        <w:spacing w:before="280" w:after="120"/>
      </w:pPr>
      <w:r>
        <w:rPr>
          <w:rFonts w:ascii="Arial" w:cs="Arial" w:eastAsia="Arial" w:hAnsi="Arial"/>
          <w:b/>
          <w:bCs/>
          <w:color w:val="1A3A5C"/>
          <w:sz w:val="28"/>
          <w:szCs w:val="28"/>
        </w:rPr>
        <w:t xml:space="preserve">7.4 State Reconciliation Payload (Distributed Saga)</w:t>
      </w:r>
    </w:p>
    <w:p>
      <w:pPr>
        <w:spacing w:before="120" w:after="120"/>
        <w:jc w:val="left"/>
      </w:pPr>
      <w:r>
        <w:rPr>
          <w:rFonts w:ascii="Arial" w:cs="Arial" w:eastAsia="Arial" w:hAnsi="Arial"/>
          <w:b w:val="false"/>
          <w:bCs w:val="false"/>
          <w:i w:val="false"/>
          <w:iCs w:val="false"/>
          <w:color w:val="000000"/>
          <w:sz w:val="22"/>
          <w:szCs w:val="22"/>
        </w:rPr>
        <w:t xml:space="preserve">When a COMPOSITE actor workflow fails after partial commit, all partially-committed participants MUST emit a state_reconciliation event. This event MUST include: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8" w:val="clear"/>
            <w:tcMar>
              <w:top w:type="dxa" w:w="120"/>
              <w:left w:type="dxa" w:w="240"/>
              <w:bottom w:type="dxa" w:w="120"/>
              <w:right w:type="dxa" w:w="240"/>
            </w:tcMar>
          </w:tcPr>
          <w:p>
            <w:pPr>
              <w:spacing w:before="0" w:after="30"/>
            </w:pPr>
            <w:r>
              <w:rPr>
                <w:rFonts w:ascii="Courier New" w:cs="Courier New" w:eastAsia="Courier New" w:hAnsi="Courier New"/>
                <w:color w:val="1A3A5C"/>
                <w:sz w:val="18"/>
                <w:szCs w:val="18"/>
              </w:rPr>
              <w:t xml:space="preserve">{</w:t>
            </w:r>
          </w:p>
          <w:p>
            <w:pPr>
              <w:spacing w:before="0" w:after="30"/>
            </w:pPr>
            <w:r>
              <w:rPr>
                <w:rFonts w:ascii="Courier New" w:cs="Courier New" w:eastAsia="Courier New" w:hAnsi="Courier New"/>
                <w:color w:val="1A3A5C"/>
                <w:sz w:val="18"/>
                <w:szCs w:val="18"/>
              </w:rPr>
              <w:t xml:space="preserve">  "event_type":            "state_reconciliation",</w:t>
            </w:r>
          </w:p>
          <w:p>
            <w:pPr>
              <w:spacing w:before="0" w:after="30"/>
            </w:pPr>
            <w:r>
              <w:rPr>
                <w:rFonts w:ascii="Courier New" w:cs="Courier New" w:eastAsia="Courier New" w:hAnsi="Courier New"/>
                <w:color w:val="1A3A5C"/>
                <w:sz w:val="18"/>
                <w:szCs w:val="18"/>
              </w:rPr>
              <w:t xml:space="preserve">  "saga_id":               "&lt;UUID v4 shared across all participants in this workflow&gt;",</w:t>
            </w:r>
          </w:p>
          <w:p>
            <w:pPr>
              <w:spacing w:before="0" w:after="30"/>
            </w:pPr>
            <w:r>
              <w:rPr>
                <w:rFonts w:ascii="Courier New" w:cs="Courier New" w:eastAsia="Courier New" w:hAnsi="Courier New"/>
                <w:color w:val="1A3A5C"/>
                <w:sz w:val="18"/>
                <w:szCs w:val="18"/>
              </w:rPr>
              <w:t xml:space="preserve">  "failed_at_event_id":    "&lt;event_id of the chain event that could not commit&gt;",</w:t>
            </w:r>
          </w:p>
          <w:p>
            <w:pPr>
              <w:spacing w:before="0" w:after="30"/>
            </w:pPr>
            <w:r>
              <w:rPr>
                <w:rFonts w:ascii="Courier New" w:cs="Courier New" w:eastAsia="Courier New" w:hAnsi="Courier New"/>
                <w:color w:val="1A3A5C"/>
                <w:sz w:val="18"/>
                <w:szCs w:val="18"/>
              </w:rPr>
              <w:t xml:space="preserve">  "rolled_back_event_ids": ["&lt;event_id_1&gt;", "&lt;event_id_2&gt;"],</w:t>
            </w:r>
          </w:p>
          <w:p>
            <w:pPr>
              <w:spacing w:before="0" w:after="30"/>
            </w:pPr>
            <w:r>
              <w:rPr>
                <w:rFonts w:ascii="Courier New" w:cs="Courier New" w:eastAsia="Courier New" w:hAnsi="Courier New"/>
                <w:color w:val="1A3A5C"/>
                <w:sz w:val="18"/>
                <w:szCs w:val="18"/>
              </w:rPr>
              <w:t xml:space="preserve">  "rollback_reason":       "&lt;human-readable description&gt;",</w:t>
            </w:r>
          </w:p>
          <w:p>
            <w:pPr>
              <w:spacing w:before="0" w:after="30"/>
            </w:pPr>
            <w:r>
              <w:rPr>
                <w:rFonts w:ascii="Courier New" w:cs="Courier New" w:eastAsia="Courier New" w:hAnsi="Courier New"/>
                <w:color w:val="1A3A5C"/>
                <w:sz w:val="18"/>
                <w:szCs w:val="18"/>
              </w:rPr>
              <w:t xml:space="preserve">  "participant_chain_tips": {</w:t>
            </w:r>
          </w:p>
          <w:p>
            <w:pPr>
              <w:spacing w:before="0" w:after="30"/>
            </w:pPr>
            <w:r>
              <w:rPr>
                <w:rFonts w:ascii="Courier New" w:cs="Courier New" w:eastAsia="Courier New" w:hAnsi="Courier New"/>
                <w:color w:val="1A3A5C"/>
                <w:sz w:val="18"/>
                <w:szCs w:val="18"/>
              </w:rPr>
              <w:t xml:space="preserve">    "&lt;actor_did&gt;": "&lt;chain_tip_hash at moment of rollback&gt;"</w:t>
            </w:r>
          </w:p>
          <w:p>
            <w:pPr>
              <w:spacing w:before="0" w:after="30"/>
            </w:pPr>
            <w:r>
              <w:rPr>
                <w:rFonts w:ascii="Courier New" w:cs="Courier New" w:eastAsia="Courier New" w:hAnsi="Courier New"/>
                <w:color w:val="1A3A5C"/>
                <w:sz w:val="18"/>
                <w:szCs w:val="18"/>
              </w:rPr>
              <w:t xml:space="preserve">  }</w:t>
            </w:r>
          </w:p>
          <w:p>
            <w:pPr>
              <w:spacing w:before="0" w:after="30"/>
            </w:pPr>
            <w:r>
              <w:rPr>
                <w:rFonts w:ascii="Courier New" w:cs="Courier New" w:eastAsia="Courier New" w:hAnsi="Courier New"/>
                <w:color w:val="1A3A5C"/>
                <w:sz w:val="18"/>
                <w:szCs w:val="18"/>
              </w:rPr>
              <w:t xml:space="preserve">}</w:t>
            </w:r>
          </w:p>
        </w:tc>
      </w:tr>
    </w:tbl>
    <w:p>
      <w:pPr>
        <w:spacing w:before="120" w:after="120"/>
        <w:jc w:val="left"/>
      </w:pPr>
      <w:r>
        <w:rPr>
          <w:rFonts w:ascii="Arial" w:cs="Arial" w:eastAsia="Arial" w:hAnsi="Arial"/>
          <w:b w:val="false"/>
          <w:bCs w:val="false"/>
          <w:i w:val="false"/>
          <w:iCs w:val="false"/>
          <w:color w:val="000000"/>
          <w:sz w:val="22"/>
          <w:szCs w:val="22"/>
        </w:rPr>
        <w:t xml:space="preserve">The saga_id links all state_reconciliation events across participants in the same failed workflow. An auditor can reconstruct exactly what was attempted, what partially committed, and what was rolled back.</w:t>
      </w:r>
    </w:p>
    <w:p>
      <w:pPr>
        <w:pStyle w:val="Heading2"/>
        <w:spacing w:before="280" w:after="120"/>
      </w:pPr>
      <w:r>
        <w:rPr>
          <w:rFonts w:ascii="Arial" w:cs="Arial" w:eastAsia="Arial" w:hAnsi="Arial"/>
          <w:b/>
          <w:bCs/>
          <w:color w:val="1A3A5C"/>
          <w:sz w:val="28"/>
          <w:szCs w:val="28"/>
        </w:rPr>
        <w:t xml:space="preserve">7.5 Dual-Write Architecture [STABLE]</w:t>
      </w:r>
    </w:p>
    <w:p>
      <w:pPr>
        <w:spacing w:before="120" w:after="120"/>
        <w:jc w:val="left"/>
      </w:pPr>
      <w:r>
        <w:rPr>
          <w:rFonts w:ascii="Arial" w:cs="Arial" w:eastAsia="Arial" w:hAnsi="Arial"/>
          <w:b w:val="false"/>
          <w:bCs w:val="false"/>
          <w:i w:val="false"/>
          <w:iCs w:val="false"/>
          <w:color w:val="000000"/>
          <w:sz w:val="22"/>
          <w:szCs w:val="22"/>
        </w:rPr>
        <w:t xml:space="preserve">Implementations MUST maintain two storage paths:</w:t>
      </w:r>
    </w:p>
    <w:p>
      <w:pPr>
        <w:pStyle w:val="ListParagraph"/>
        <w:numPr>
          <w:ilvl w:val="0"/>
          <w:numId w:val="2"/>
        </w:numPr>
        <w:spacing w:before="60" w:after="60"/>
      </w:pPr>
      <w:r>
        <w:rPr>
          <w:rFonts w:ascii="Arial" w:cs="Arial" w:eastAsia="Arial" w:hAnsi="Arial"/>
          <w:color w:val="000000"/>
          <w:sz w:val="22"/>
          <w:szCs w:val="22"/>
        </w:rPr>
        <w:t xml:space="preserve">Query projection (CQRS read path) — relational or document database optimised for queries. Written synchronously with all events.</w:t>
      </w:r>
    </w:p>
    <w:p>
      <w:pPr>
        <w:pStyle w:val="ListParagraph"/>
        <w:numPr>
          <w:ilvl w:val="0"/>
          <w:numId w:val="2"/>
        </w:numPr>
        <w:spacing w:before="60" w:after="60"/>
      </w:pPr>
      <w:r>
        <w:rPr>
          <w:rFonts w:ascii="Arial" w:cs="Arial" w:eastAsia="Arial" w:hAnsi="Arial"/>
          <w:color w:val="000000"/>
          <w:sz w:val="22"/>
          <w:szCs w:val="22"/>
        </w:rPr>
        <w:t xml:space="preserve">Immutable vault (source of truth) — append-only object store. No update or delete operations permitted at the storage layer. Vault is authoritative in any discrepancy.</w:t>
      </w:r>
    </w:p>
    <w:p>
      <w:pPr>
        <w:spacing w:before="120" w:after="120"/>
        <w:jc w:val="left"/>
      </w:pPr>
      <w:r>
        <w:rPr>
          <w:rFonts w:ascii="Arial" w:cs="Arial" w:eastAsia="Arial" w:hAnsi="Arial"/>
          <w:b w:val="false"/>
          <w:bCs w:val="false"/>
          <w:i w:val="false"/>
          <w:iCs w:val="false"/>
          <w:color w:val="000000"/>
          <w:sz w:val="22"/>
          <w:szCs w:val="22"/>
        </w:rPr>
        <w:t xml:space="preserve">Synchronous dual-write required for: capability_used, k2_delivered, record_verified, trust_level_assigned, capability_request, capability_authorised, chain_revoked, revocation_propagation_initiated.</w:t>
      </w:r>
    </w:p>
    <w:p>
      <w:pPr>
        <w:spacing w:before="120" w:after="120"/>
        <w:jc w:val="left"/>
      </w:pPr>
      <w:r>
        <w:rPr>
          <w:rFonts w:ascii="Arial" w:cs="Arial" w:eastAsia="Arial" w:hAnsi="Arial"/>
          <w:b w:val="false"/>
          <w:bCs w:val="false"/>
          <w:i w:val="false"/>
          <w:iCs w:val="false"/>
          <w:color w:val="000000"/>
          <w:sz w:val="22"/>
          <w:szCs w:val="22"/>
        </w:rPr>
        <w:t xml:space="preserve">Vault nightly batch permitted for: chain_accessed, record_accessed.</w:t>
      </w:r>
    </w:p>
    <w:p>
      <w:pPr>
        <w:spacing w:before="120" w:after="120"/>
        <w:jc w:val="left"/>
      </w:pPr>
      <w:r>
        <w:rPr>
          <w:rFonts w:ascii="Arial" w:cs="Arial" w:eastAsia="Arial" w:hAnsi="Arial"/>
          <w:b w:val="false"/>
          <w:bCs w:val="false"/>
          <w:i w:val="false"/>
          <w:iCs w:val="false"/>
          <w:color w:val="000000"/>
          <w:sz w:val="22"/>
          <w:szCs w:val="22"/>
        </w:rPr>
        <w:t xml:space="preserve">Ephemeral rollup events write only the Merkle root to the vault. Individual batched events are retained in the query projection and are available for audit on demand.</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8. Attestation Model</w:t>
      </w:r>
    </w:p>
    <w:p>
      <w:pPr>
        <w:pStyle w:val="Heading2"/>
        <w:spacing w:before="280" w:after="120"/>
      </w:pPr>
      <w:r>
        <w:rPr>
          <w:rFonts w:ascii="Arial" w:cs="Arial" w:eastAsia="Arial" w:hAnsi="Arial"/>
          <w:b/>
          <w:bCs/>
          <w:color w:val="1A3A5C"/>
          <w:sz w:val="28"/>
          <w:szCs w:val="28"/>
        </w:rPr>
        <w:t xml:space="preserve">8.1 Human Actor Attestation</w:t>
      </w:r>
    </w:p>
    <w:p>
      <w:pPr>
        <w:spacing w:before="120" w:after="120"/>
        <w:jc w:val="left"/>
      </w:pPr>
      <w:r>
        <w:rPr>
          <w:rFonts w:ascii="Arial" w:cs="Arial" w:eastAsia="Arial" w:hAnsi="Arial"/>
          <w:b w:val="false"/>
          <w:bCs w:val="false"/>
          <w:i w:val="false"/>
          <w:iCs w:val="false"/>
          <w:color w:val="000000"/>
          <w:sz w:val="22"/>
          <w:szCs w:val="22"/>
        </w:rPr>
        <w:t xml:space="preserve">Human actors attest through periodic recertification. The interval is set by the capability envelope and varies by sector. At each recertification: identity document re-verified, biometric liveness repeated, K2 device binding confirmed or renewed, capability evidence reviewed, capability_renewed event recorded.</w:t>
      </w:r>
    </w:p>
    <w:p>
      <w:pPr>
        <w:pStyle w:val="Heading2"/>
        <w:spacing w:before="280" w:after="120"/>
      </w:pPr>
      <w:r>
        <w:rPr>
          <w:rFonts w:ascii="Arial" w:cs="Arial" w:eastAsia="Arial" w:hAnsi="Arial"/>
          <w:b/>
          <w:bCs/>
          <w:color w:val="1A3A5C"/>
          <w:sz w:val="28"/>
          <w:szCs w:val="28"/>
        </w:rPr>
        <w:t xml:space="preserve">8.2 Non-Human Actor Attestation Heartbeat</w:t>
      </w:r>
    </w:p>
    <w:p>
      <w:pPr>
        <w:spacing w:before="120" w:after="120"/>
        <w:jc w:val="left"/>
      </w:pPr>
      <w:r>
        <w:rPr>
          <w:rFonts w:ascii="Arial" w:cs="Arial" w:eastAsia="Arial" w:hAnsi="Arial"/>
          <w:b w:val="false"/>
          <w:bCs w:val="false"/>
          <w:i w:val="false"/>
          <w:iCs w:val="false"/>
          <w:color w:val="000000"/>
          <w:sz w:val="22"/>
          <w:szCs w:val="22"/>
        </w:rPr>
        <w:t xml:space="preserve">Non-human actors MUST provide continuous attestation through a cryptographic heartbeat — proof of identity and operational integrity emitted at configurable intervals (typically milliseconds to seconds). The heartbeat is a separate out-of-band stream from chain events and telemetry. It confirms:</w:t>
      </w:r>
    </w:p>
    <w:p>
      <w:pPr>
        <w:pStyle w:val="ListParagraph"/>
        <w:numPr>
          <w:ilvl w:val="0"/>
          <w:numId w:val="2"/>
        </w:numPr>
        <w:spacing w:before="60" w:after="60"/>
      </w:pPr>
      <w:r>
        <w:rPr>
          <w:rFonts w:ascii="Arial" w:cs="Arial" w:eastAsia="Arial" w:hAnsi="Arial"/>
          <w:color w:val="000000"/>
          <w:sz w:val="22"/>
          <w:szCs w:val="22"/>
        </w:rPr>
        <w:t xml:space="preserve">Running software image hash matches the certified hash in the capability envelope</w:t>
      </w:r>
    </w:p>
    <w:p>
      <w:pPr>
        <w:pStyle w:val="ListParagraph"/>
        <w:numPr>
          <w:ilvl w:val="0"/>
          <w:numId w:val="2"/>
        </w:numPr>
        <w:spacing w:before="60" w:after="60"/>
      </w:pPr>
      <w:r>
        <w:rPr>
          <w:rFonts w:ascii="Arial" w:cs="Arial" w:eastAsia="Arial" w:hAnsi="Arial"/>
          <w:color w:val="000000"/>
          <w:sz w:val="22"/>
          <w:szCs w:val="22"/>
        </w:rPr>
        <w:t xml:space="preserve">Hardware identity is consistent — TPM attestation valid</w:t>
      </w:r>
    </w:p>
    <w:p>
      <w:pPr>
        <w:pStyle w:val="ListParagraph"/>
        <w:numPr>
          <w:ilvl w:val="0"/>
          <w:numId w:val="2"/>
        </w:numPr>
        <w:spacing w:before="60" w:after="60"/>
      </w:pPr>
      <w:r>
        <w:rPr>
          <w:rFonts w:ascii="Arial" w:cs="Arial" w:eastAsia="Arial" w:hAnsi="Arial"/>
          <w:color w:val="000000"/>
          <w:sz w:val="22"/>
          <w:szCs w:val="22"/>
        </w:rPr>
        <w:t xml:space="preserve">Actor is operating within its certified capability envelope — no hard limits breached</w:t>
      </w:r>
    </w:p>
    <w:p>
      <w:pPr>
        <w:pStyle w:val="ListParagraph"/>
        <w:numPr>
          <w:ilvl w:val="0"/>
          <w:numId w:val="2"/>
        </w:numPr>
        <w:spacing w:before="60" w:after="60"/>
      </w:pPr>
      <w:r>
        <w:rPr>
          <w:rFonts w:ascii="Arial" w:cs="Arial" w:eastAsia="Arial" w:hAnsi="Arial"/>
          <w:color w:val="000000"/>
          <w:sz w:val="22"/>
          <w:szCs w:val="22"/>
        </w:rPr>
        <w:t xml:space="preserve">K2 HSM is present and operational</w:t>
      </w:r>
    </w:p>
    <w:p>
      <w:pPr>
        <w:pStyle w:val="Heading2"/>
        <w:spacing w:before="280" w:after="120"/>
      </w:pPr>
      <w:r>
        <w:rPr>
          <w:rFonts w:ascii="Arial" w:cs="Arial" w:eastAsia="Arial" w:hAnsi="Arial"/>
          <w:b/>
          <w:bCs/>
          <w:color w:val="1A3A5C"/>
          <w:sz w:val="28"/>
          <w:szCs w:val="28"/>
        </w:rPr>
        <w:t xml:space="preserve">8.3 Attestation Failure Sequence</w:t>
      </w:r>
    </w:p>
    <w:p>
      <w:pPr>
        <w:spacing w:before="120" w:after="120"/>
        <w:jc w:val="left"/>
      </w:pPr>
      <w:r>
        <w:rPr>
          <w:rFonts w:ascii="Arial" w:cs="Arial" w:eastAsia="Arial" w:hAnsi="Arial"/>
          <w:b w:val="false"/>
          <w:bCs w:val="false"/>
          <w:i w:val="false"/>
          <w:iCs w:val="false"/>
          <w:color w:val="000000"/>
          <w:sz w:val="22"/>
          <w:szCs w:val="22"/>
        </w:rPr>
        <w:t xml:space="preserve">If a heartbeat is not received within the configured timeout, or a received heartbeat fails verification, the following sequence is MANDATORY:</w:t>
      </w:r>
    </w:p>
    <w:p>
      <w:pPr>
        <w:pStyle w:val="ListParagraph"/>
        <w:numPr>
          <w:ilvl w:val="0"/>
          <w:numId w:val="3"/>
        </w:numPr>
        <w:spacing w:before="60" w:after="60"/>
      </w:pPr>
      <w:r>
        <w:rPr>
          <w:rFonts w:ascii="Arial" w:cs="Arial" w:eastAsia="Arial" w:hAnsi="Arial"/>
          <w:color w:val="000000"/>
          <w:sz w:val="22"/>
          <w:szCs w:val="22"/>
        </w:rPr>
        <w:t xml:space="preserve">Immediate chain event: attestation_failure, recording last known good state, last heartbeat timestamp, failure reason</w:t>
      </w:r>
    </w:p>
    <w:p>
      <w:pPr>
        <w:pStyle w:val="ListParagraph"/>
        <w:numPr>
          <w:ilvl w:val="0"/>
          <w:numId w:val="3"/>
        </w:numPr>
        <w:spacing w:before="60" w:after="60"/>
      </w:pPr>
      <w:r>
        <w:rPr>
          <w:rFonts w:ascii="Arial" w:cs="Arial" w:eastAsia="Arial" w:hAnsi="Arial"/>
          <w:color w:val="000000"/>
          <w:sz w:val="22"/>
          <w:szCs w:val="22"/>
        </w:rPr>
        <w:t xml:space="preserve">Actor trust level automatically downgraded to L4 (Suspended)</w:t>
      </w:r>
    </w:p>
    <w:p>
      <w:pPr>
        <w:pStyle w:val="ListParagraph"/>
        <w:numPr>
          <w:ilvl w:val="0"/>
          <w:numId w:val="3"/>
        </w:numPr>
        <w:spacing w:before="60" w:after="60"/>
      </w:pPr>
      <w:r>
        <w:rPr>
          <w:rFonts w:ascii="Arial" w:cs="Arial" w:eastAsia="Arial" w:hAnsi="Arial"/>
          <w:color w:val="000000"/>
          <w:sz w:val="22"/>
          <w:szCs w:val="22"/>
        </w:rPr>
        <w:t xml:space="preserve">Capability envelope suspended — no further Tier 3 interactions</w:t>
      </w:r>
    </w:p>
    <w:p>
      <w:pPr>
        <w:pStyle w:val="ListParagraph"/>
        <w:numPr>
          <w:ilvl w:val="0"/>
          <w:numId w:val="3"/>
        </w:numPr>
        <w:spacing w:before="60" w:after="60"/>
      </w:pPr>
      <w:r>
        <w:rPr>
          <w:rFonts w:ascii="Arial" w:cs="Arial" w:eastAsia="Arial" w:hAnsi="Arial"/>
          <w:color w:val="000000"/>
          <w:sz w:val="22"/>
          <w:szCs w:val="22"/>
        </w:rPr>
        <w:t xml:space="preserve">Supervisor notification emitted</w:t>
      </w:r>
    </w:p>
    <w:p>
      <w:pPr>
        <w:pStyle w:val="ListParagraph"/>
        <w:numPr>
          <w:ilvl w:val="0"/>
          <w:numId w:val="3"/>
        </w:numPr>
        <w:spacing w:before="60" w:after="60"/>
      </w:pPr>
      <w:r>
        <w:rPr>
          <w:rFonts w:ascii="Arial" w:cs="Arial" w:eastAsia="Arial" w:hAnsi="Arial"/>
          <w:color w:val="000000"/>
          <w:sz w:val="22"/>
          <w:szCs w:val="22"/>
        </w:rPr>
        <w:t xml:space="preserve">Restoration requires a Tier 3 interaction from the supervisor's chain — self-restoration is not permitted</w:t>
      </w:r>
    </w:p>
    <w:p>
      <w:pPr>
        <w:pStyle w:val="Heading2"/>
        <w:spacing w:before="280" w:after="120"/>
      </w:pPr>
      <w:r>
        <w:rPr>
          <w:rFonts w:ascii="Arial" w:cs="Arial" w:eastAsia="Arial" w:hAnsi="Arial"/>
          <w:b/>
          <w:bCs/>
          <w:color w:val="1A3A5C"/>
          <w:sz w:val="28"/>
          <w:szCs w:val="28"/>
        </w:rPr>
        <w:t xml:space="preserve">8.4 Software Image Integrity</w:t>
      </w:r>
    </w:p>
    <w:p>
      <w:pPr>
        <w:spacing w:before="120" w:after="120"/>
        <w:jc w:val="left"/>
      </w:pPr>
      <w:r>
        <w:rPr>
          <w:rFonts w:ascii="Arial" w:cs="Arial" w:eastAsia="Arial" w:hAnsi="Arial"/>
          <w:b w:val="false"/>
          <w:bCs w:val="false"/>
          <w:i w:val="false"/>
          <w:iCs w:val="false"/>
          <w:color w:val="000000"/>
          <w:sz w:val="22"/>
          <w:szCs w:val="22"/>
        </w:rPr>
        <w:t xml:space="preserve">At boot, non-human actors MUST verify the running software image against the certified hash in the capability envelope. If verification fails: record envelope_integrity_failure immediately, do not proceed, await supervisor intervention. This check occurs at boot and at configurable runtime intervals. It cannot be disabled by the actor itself.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40"/>
              <w:left w:type="dxa" w:w="240"/>
              <w:bottom w:type="dxa" w:w="140"/>
              <w:right w:type="dxa" w:w="240"/>
            </w:tcMar>
          </w:tcPr>
          <w:p>
            <w:pPr>
              <w:spacing w:before="0" w:after="80"/>
            </w:pPr>
            <w:r>
              <w:rPr>
                <w:rFonts w:ascii="Arial" w:cs="Arial" w:eastAsia="Arial" w:hAnsi="Arial"/>
                <w:b/>
                <w:bCs/>
                <w:color w:val="0D7377"/>
                <w:sz w:val="22"/>
                <w:szCs w:val="22"/>
              </w:rPr>
              <w:t xml:space="preserve">Security Note: Pre-Sync Window</w:t>
            </w:r>
          </w:p>
          <w:p>
            <w:pPr>
              <w:spacing w:before="0" w:after="40"/>
            </w:pPr>
            <w:r>
              <w:rPr>
                <w:rFonts w:ascii="Arial" w:cs="Arial" w:eastAsia="Arial" w:hAnsi="Arial"/>
                <w:i w:val="false"/>
                <w:iCs w:val="false"/>
                <w:color w:val="000000"/>
                <w:sz w:val="21"/>
                <w:szCs w:val="21"/>
              </w:rPr>
              <w:t xml:space="preserve">If an actor's K2 component is compromised before a Tier 3 event is written to the</w:t>
            </w:r>
          </w:p>
          <w:p>
            <w:pPr>
              <w:spacing w:before="0" w:after="40"/>
            </w:pPr>
            <w:r>
              <w:rPr>
                <w:rFonts w:ascii="Arial" w:cs="Arial" w:eastAsia="Arial" w:hAnsi="Arial"/>
                <w:i w:val="false"/>
                <w:iCs w:val="false"/>
                <w:color w:val="000000"/>
                <w:sz w:val="21"/>
                <w:szCs w:val="21"/>
              </w:rPr>
              <w:t xml:space="preserve">immutable vault, local rewriting of the tamper-evident buffer is theoretically possible</w:t>
            </w:r>
          </w:p>
          <w:p>
            <w:pPr>
              <w:spacing w:before="0" w:after="40"/>
            </w:pPr>
            <w:r>
              <w:rPr>
                <w:rFonts w:ascii="Arial" w:cs="Arial" w:eastAsia="Arial" w:hAnsi="Arial"/>
                <w:i w:val="false"/>
                <w:iCs w:val="false"/>
                <w:color w:val="000000"/>
                <w:sz w:val="21"/>
                <w:szCs w:val="21"/>
              </w:rPr>
              <w:t xml:space="preserve">until the next successful synchronisation.</w:t>
            </w:r>
          </w:p>
          <w:p>
            <w:pPr>
              <w:spacing w:before="0" w:after="60"/>
            </w:pPr>
            <w:r>
              <w:rPr>
                <w:rFonts w:ascii="Arial" w:cs="Arial" w:eastAsia="Arial" w:hAnsi="Arial"/>
                <w:i w:val="false"/>
                <w:iCs w:val="false"/>
                <w:color w:val="000000"/>
                <w:sz w:val="21"/>
                <w:szCs w:val="21"/>
              </w:rPr>
              <w:t xml:space="preserve"/>
            </w:r>
          </w:p>
          <w:p>
            <w:pPr>
              <w:spacing w:before="0" w:after="40"/>
            </w:pPr>
            <w:r>
              <w:rPr>
                <w:rFonts w:ascii="Arial" w:cs="Arial" w:eastAsia="Arial" w:hAnsi="Arial"/>
                <w:i w:val="false"/>
                <w:iCs w:val="false"/>
                <w:color w:val="000000"/>
                <w:sz w:val="21"/>
                <w:szCs w:val="21"/>
              </w:rPr>
              <w:t xml:space="preserve">Mitigations: short sync intervals for high-risk actors; continuous attestation heartbeat</w:t>
            </w:r>
          </w:p>
          <w:p>
            <w:pPr>
              <w:spacing w:before="0" w:after="40"/>
            </w:pPr>
            <w:r>
              <w:rPr>
                <w:rFonts w:ascii="Arial" w:cs="Arial" w:eastAsia="Arial" w:hAnsi="Arial"/>
                <w:i w:val="false"/>
                <w:iCs w:val="false"/>
                <w:color w:val="000000"/>
                <w:sz w:val="21"/>
                <w:szCs w:val="21"/>
              </w:rPr>
              <w:t xml:space="preserve">provides out-of-band tamper signal; HSM-bound K2 raises the physical attack bar significantly.</w:t>
            </w:r>
          </w:p>
          <w:p>
            <w:pPr>
              <w:spacing w:before="0" w:after="60"/>
            </w:pPr>
            <w:r>
              <w:rPr>
                <w:rFonts w:ascii="Arial" w:cs="Arial" w:eastAsia="Arial" w:hAnsi="Arial"/>
                <w:i w:val="false"/>
                <w:iCs w:val="false"/>
                <w:color w:val="000000"/>
                <w:sz w:val="21"/>
                <w:szCs w:val="21"/>
              </w:rPr>
              <w:t xml:space="preserve"/>
            </w:r>
          </w:p>
          <w:p>
            <w:pPr>
              <w:spacing w:before="0" w:after="40"/>
            </w:pPr>
            <w:r>
              <w:rPr>
                <w:rFonts w:ascii="Arial" w:cs="Arial" w:eastAsia="Arial" w:hAnsi="Arial"/>
                <w:i w:val="false"/>
                <w:iCs w:val="false"/>
                <w:color w:val="000000"/>
                <w:sz w:val="21"/>
                <w:szCs w:val="21"/>
              </w:rPr>
              <w:t xml:space="preserve">Implementations in life-safety contexts SHOULD use synchronous dual-write with no offline</w:t>
            </w:r>
          </w:p>
          <w:p>
            <w:pPr>
              <w:spacing w:before="0" w:after="40"/>
            </w:pPr>
            <w:r>
              <w:rPr>
                <w:rFonts w:ascii="Arial" w:cs="Arial" w:eastAsia="Arial" w:hAnsi="Arial"/>
                <w:i w:val="false"/>
                <w:iCs w:val="false"/>
                <w:color w:val="000000"/>
                <w:sz w:val="21"/>
                <w:szCs w:val="21"/>
              </w:rPr>
              <w:t xml:space="preserve">buffer for Tier 3 events where connectivity is guaranteed.</w:t>
            </w:r>
          </w:p>
        </w:tc>
      </w:tr>
    </w:tbl>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9. Store-and-Forward Protocol</w:t>
      </w:r>
    </w:p>
    <w:p>
      <w:pPr>
        <w:pStyle w:val="Heading2"/>
        <w:spacing w:before="280" w:after="120"/>
      </w:pPr>
      <w:r>
        <w:rPr>
          <w:rFonts w:ascii="Arial" w:cs="Arial" w:eastAsia="Arial" w:hAnsi="Arial"/>
          <w:b/>
          <w:bCs/>
          <w:color w:val="1A3A5C"/>
          <w:sz w:val="28"/>
          <w:szCs w:val="28"/>
        </w:rPr>
        <w:t xml:space="preserve">9.1 Operating States</w:t>
      </w:r>
    </w:p>
    <w:p>
      <w:pPr>
        <w:spacing w:before="120" w:after="120"/>
        <w:jc w:val="left"/>
      </w:pPr>
      <w:r>
        <w:rPr>
          <w:rFonts w:ascii="Arial" w:cs="Arial" w:eastAsia="Arial" w:hAnsi="Arial"/>
          <w:b w:val="false"/>
          <w:bCs w:val="false"/>
          <w:i w:val="false"/>
          <w:iCs w:val="false"/>
          <w:color w:val="000000"/>
          <w:sz w:val="22"/>
          <w:szCs w:val="22"/>
        </w:rPr>
        <w:t xml:space="preserve">UCCO defines three connectivity states for non-human actors:</w:t>
      </w:r>
    </w:p>
    <w:p>
      <w:pPr>
        <w:pStyle w:val="ListParagraph"/>
        <w:numPr>
          <w:ilvl w:val="0"/>
          <w:numId w:val="2"/>
        </w:numPr>
        <w:spacing w:before="60" w:after="60"/>
      </w:pPr>
      <w:r>
        <w:rPr>
          <w:rFonts w:ascii="Arial" w:cs="Arial" w:eastAsia="Arial" w:hAnsi="Arial"/>
          <w:color w:val="000000"/>
          <w:sz w:val="22"/>
          <w:szCs w:val="22"/>
        </w:rPr>
        <w:t xml:space="preserve">CONNECTED — synchronous dual-write on all chain events</w:t>
      </w:r>
    </w:p>
    <w:p>
      <w:pPr>
        <w:pStyle w:val="ListParagraph"/>
        <w:numPr>
          <w:ilvl w:val="0"/>
          <w:numId w:val="2"/>
        </w:numPr>
        <w:spacing w:before="60" w:after="60"/>
      </w:pPr>
      <w:r>
        <w:rPr>
          <w:rFonts w:ascii="Arial" w:cs="Arial" w:eastAsia="Arial" w:hAnsi="Arial"/>
          <w:color w:val="000000"/>
          <w:sz w:val="22"/>
          <w:szCs w:val="22"/>
        </w:rPr>
        <w:t xml:space="preserve">DEGRADED — delayed synchronisation, local tamper-evident buffer active</w:t>
      </w:r>
    </w:p>
    <w:p>
      <w:pPr>
        <w:pStyle w:val="ListParagraph"/>
        <w:numPr>
          <w:ilvl w:val="0"/>
          <w:numId w:val="2"/>
        </w:numPr>
        <w:spacing w:before="60" w:after="60"/>
      </w:pPr>
      <w:r>
        <w:rPr>
          <w:rFonts w:ascii="Arial" w:cs="Arial" w:eastAsia="Arial" w:hAnsi="Arial"/>
          <w:color w:val="000000"/>
          <w:sz w:val="22"/>
          <w:szCs w:val="22"/>
        </w:rPr>
        <w:t xml:space="preserve">OFFLINE — no connectivity, full local operation within certified envelope</w:t>
      </w:r>
    </w:p>
    <w:p>
      <w:pPr>
        <w:pStyle w:val="Heading2"/>
        <w:spacing w:before="280" w:after="120"/>
      </w:pPr>
      <w:r>
        <w:rPr>
          <w:rFonts w:ascii="Arial" w:cs="Arial" w:eastAsia="Arial" w:hAnsi="Arial"/>
          <w:b/>
          <w:bCs/>
          <w:color w:val="1A3A5C"/>
          <w:sz w:val="28"/>
          <w:szCs w:val="28"/>
        </w:rPr>
        <w:t xml:space="preserve">9.2 Offline Operation</w:t>
      </w:r>
    </w:p>
    <w:p>
      <w:pPr>
        <w:spacing w:before="120" w:after="120"/>
        <w:jc w:val="left"/>
      </w:pPr>
      <w:r>
        <w:rPr>
          <w:rFonts w:ascii="Arial" w:cs="Arial" w:eastAsia="Arial" w:hAnsi="Arial"/>
          <w:b w:val="false"/>
          <w:bCs w:val="false"/>
          <w:i w:val="false"/>
          <w:iCs w:val="false"/>
          <w:color w:val="000000"/>
          <w:sz w:val="22"/>
          <w:szCs w:val="22"/>
        </w:rPr>
        <w:t xml:space="preserve">An actor in OFFLINE state MAY continue operating within its certified capability envelope subject to:</w:t>
      </w:r>
    </w:p>
    <w:p>
      <w:pPr>
        <w:pStyle w:val="ListParagraph"/>
        <w:numPr>
          <w:ilvl w:val="0"/>
          <w:numId w:val="3"/>
        </w:numPr>
        <w:spacing w:before="60" w:after="60"/>
      </w:pPr>
      <w:r>
        <w:rPr>
          <w:rFonts w:ascii="Arial" w:cs="Arial" w:eastAsia="Arial" w:hAnsi="Arial"/>
          <w:color w:val="000000"/>
          <w:sz w:val="22"/>
          <w:szCs w:val="22"/>
        </w:rPr>
        <w:t xml:space="preserve">Complete capability envelope locally available and integrity-verified before entering offline mode</w:t>
      </w:r>
    </w:p>
    <w:p>
      <w:pPr>
        <w:pStyle w:val="ListParagraph"/>
        <w:numPr>
          <w:ilvl w:val="0"/>
          <w:numId w:val="3"/>
        </w:numPr>
        <w:spacing w:before="60" w:after="60"/>
      </w:pPr>
      <w:r>
        <w:rPr>
          <w:rFonts w:ascii="Arial" w:cs="Arial" w:eastAsia="Arial" w:hAnsi="Arial"/>
          <w:color w:val="000000"/>
          <w:sz w:val="22"/>
          <w:szCs w:val="22"/>
        </w:rPr>
        <w:t xml:space="preserve">All chain events written to a local tamper-evident buffer</w:t>
      </w:r>
    </w:p>
    <w:p>
      <w:pPr>
        <w:pStyle w:val="ListParagraph"/>
        <w:numPr>
          <w:ilvl w:val="0"/>
          <w:numId w:val="3"/>
        </w:numPr>
        <w:spacing w:before="60" w:after="60"/>
      </w:pPr>
      <w:r>
        <w:rPr>
          <w:rFonts w:ascii="Arial" w:cs="Arial" w:eastAsia="Arial" w:hAnsi="Arial"/>
          <w:color w:val="000000"/>
          <w:sz w:val="22"/>
          <w:szCs w:val="22"/>
        </w:rPr>
        <w:t xml:space="preserve">timestamp_utc records the moment of occurrence</w:t>
      </w:r>
    </w:p>
    <w:p>
      <w:pPr>
        <w:pStyle w:val="ListParagraph"/>
        <w:numPr>
          <w:ilvl w:val="0"/>
          <w:numId w:val="3"/>
        </w:numPr>
        <w:spacing w:before="60" w:after="60"/>
      </w:pPr>
      <w:r>
        <w:rPr>
          <w:rFonts w:ascii="Arial" w:cs="Arial" w:eastAsia="Arial" w:hAnsi="Arial"/>
          <w:color w:val="000000"/>
          <w:sz w:val="22"/>
          <w:szCs w:val="22"/>
        </w:rPr>
        <w:t xml:space="preserve">sync_timestamp_utc records the moment of successful vault write on reconnection</w:t>
      </w:r>
    </w:p>
    <w:p>
      <w:pPr>
        <w:pStyle w:val="ListParagraph"/>
        <w:numPr>
          <w:ilvl w:val="0"/>
          <w:numId w:val="3"/>
        </w:numPr>
        <w:spacing w:before="60" w:after="60"/>
      </w:pPr>
      <w:r>
        <w:rPr>
          <w:rFonts w:ascii="Arial" w:cs="Arial" w:eastAsia="Arial" w:hAnsi="Arial"/>
          <w:color w:val="000000"/>
          <w:sz w:val="22"/>
          <w:szCs w:val="22"/>
        </w:rPr>
        <w:t xml:space="preserve">Hard limit checking continues against the local envelope</w:t>
      </w:r>
    </w:p>
    <w:p>
      <w:pPr>
        <w:pStyle w:val="ListParagraph"/>
        <w:numPr>
          <w:ilvl w:val="0"/>
          <w:numId w:val="3"/>
        </w:numPr>
        <w:spacing w:before="60" w:after="60"/>
      </w:pPr>
      <w:r>
        <w:rPr>
          <w:rFonts w:ascii="Arial" w:cs="Arial" w:eastAsia="Arial" w:hAnsi="Arial"/>
          <w:color w:val="000000"/>
          <w:sz w:val="22"/>
          <w:szCs w:val="22"/>
        </w:rPr>
        <w:t xml:space="preserve">If a hard limit is reached in OFFLINE state and connectivity cannot be established, the actor MUST STOP and record a capability_request event in the local buffer</w:t>
      </w:r>
    </w:p>
    <w:p>
      <w:pPr>
        <w:pStyle w:val="Heading2"/>
        <w:spacing w:before="280" w:after="120"/>
      </w:pPr>
      <w:r>
        <w:rPr>
          <w:rFonts w:ascii="Arial" w:cs="Arial" w:eastAsia="Arial" w:hAnsi="Arial"/>
          <w:b/>
          <w:bCs/>
          <w:color w:val="1A3A5C"/>
          <w:sz w:val="28"/>
          <w:szCs w:val="28"/>
        </w:rPr>
        <w:t xml:space="preserve">9.3 Synchronisation</w:t>
      </w:r>
    </w:p>
    <w:p>
      <w:pPr>
        <w:spacing w:before="120" w:after="120"/>
        <w:jc w:val="left"/>
      </w:pPr>
      <w:r>
        <w:rPr>
          <w:rFonts w:ascii="Arial" w:cs="Arial" w:eastAsia="Arial" w:hAnsi="Arial"/>
          <w:b w:val="false"/>
          <w:bCs w:val="false"/>
          <w:i w:val="false"/>
          <w:iCs w:val="false"/>
          <w:color w:val="000000"/>
          <w:sz w:val="22"/>
          <w:szCs w:val="22"/>
        </w:rPr>
        <w:t xml:space="preserve">On reconnection:</w:t>
      </w:r>
    </w:p>
    <w:p>
      <w:pPr>
        <w:pStyle w:val="ListParagraph"/>
        <w:numPr>
          <w:ilvl w:val="0"/>
          <w:numId w:val="3"/>
        </w:numPr>
        <w:spacing w:before="60" w:after="60"/>
      </w:pPr>
      <w:r>
        <w:rPr>
          <w:rFonts w:ascii="Arial" w:cs="Arial" w:eastAsia="Arial" w:hAnsi="Arial"/>
          <w:color w:val="000000"/>
          <w:sz w:val="22"/>
          <w:szCs w:val="22"/>
        </w:rPr>
        <w:t xml:space="preserve">Buffered events submitted to vault in sequence</w:t>
      </w:r>
    </w:p>
    <w:p>
      <w:pPr>
        <w:pStyle w:val="ListParagraph"/>
        <w:numPr>
          <w:ilvl w:val="0"/>
          <w:numId w:val="3"/>
        </w:numPr>
        <w:spacing w:before="60" w:after="60"/>
      </w:pPr>
      <w:r>
        <w:rPr>
          <w:rFonts w:ascii="Arial" w:cs="Arial" w:eastAsia="Arial" w:hAnsi="Arial"/>
          <w:color w:val="000000"/>
          <w:sz w:val="22"/>
          <w:szCs w:val="22"/>
        </w:rPr>
        <w:t xml:space="preserve">Vault verifies hash chain continuity of the submitted batch</w:t>
      </w:r>
    </w:p>
    <w:p>
      <w:pPr>
        <w:pStyle w:val="ListParagraph"/>
        <w:numPr>
          <w:ilvl w:val="0"/>
          <w:numId w:val="3"/>
        </w:numPr>
        <w:spacing w:before="60" w:after="60"/>
      </w:pPr>
      <w:r>
        <w:rPr>
          <w:rFonts w:ascii="Arial" w:cs="Arial" w:eastAsia="Arial" w:hAnsi="Arial"/>
          <w:color w:val="000000"/>
          <w:sz w:val="22"/>
          <w:szCs w:val="22"/>
        </w:rPr>
        <w:t xml:space="preserve">If continuity is valid: events committed, sync_timestamp_utc set</w:t>
      </w:r>
    </w:p>
    <w:p>
      <w:pPr>
        <w:pStyle w:val="ListParagraph"/>
        <w:numPr>
          <w:ilvl w:val="0"/>
          <w:numId w:val="3"/>
        </w:numPr>
        <w:spacing w:before="60" w:after="60"/>
      </w:pPr>
      <w:r>
        <w:rPr>
          <w:rFonts w:ascii="Arial" w:cs="Arial" w:eastAsia="Arial" w:hAnsi="Arial"/>
          <w:color w:val="000000"/>
          <w:sz w:val="22"/>
          <w:szCs w:val="22"/>
        </w:rPr>
        <w:t xml:space="preserve">If continuity is broken (tamper detected): all buffered events rejected, attestation_failure event written, actor suspended</w:t>
      </w:r>
    </w:p>
    <w:p>
      <w:pPr>
        <w:spacing w:before="120" w:after="120"/>
        <w:jc w:val="left"/>
      </w:pPr>
      <w:r>
        <w:rPr>
          <w:rFonts w:ascii="Arial" w:cs="Arial" w:eastAsia="Arial" w:hAnsi="Arial"/>
          <w:b w:val="false"/>
          <w:bCs w:val="false"/>
          <w:i w:val="false"/>
          <w:iCs w:val="false"/>
          <w:color w:val="000000"/>
          <w:sz w:val="22"/>
          <w:szCs w:val="22"/>
        </w:rPr>
        <w:t xml:space="preserve">The vault makes no structural distinction between synchronous and buffered events. The sync_timestamp_utc field is the only indicator of offline operation, and it is preserved transparently for auditors.</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10. Supervision Chain and Delegated Fleet Authority</w:t>
      </w:r>
    </w:p>
    <w:p>
      <w:pPr>
        <w:pStyle w:val="Heading2"/>
        <w:spacing w:before="280" w:after="120"/>
      </w:pPr>
      <w:r>
        <w:rPr>
          <w:rFonts w:ascii="Arial" w:cs="Arial" w:eastAsia="Arial" w:hAnsi="Arial"/>
          <w:b/>
          <w:bCs/>
          <w:color w:val="1A3A5C"/>
          <w:sz w:val="28"/>
          <w:szCs w:val="28"/>
        </w:rPr>
        <w:t xml:space="preserve">10.1 Supervision Chain Requirement</w:t>
      </w:r>
    </w:p>
    <w:p>
      <w:pPr>
        <w:spacing w:before="120" w:after="120"/>
        <w:jc w:val="left"/>
      </w:pPr>
      <w:r>
        <w:rPr>
          <w:rFonts w:ascii="Arial" w:cs="Arial" w:eastAsia="Arial" w:hAnsi="Arial"/>
          <w:b w:val="false"/>
          <w:bCs w:val="false"/>
          <w:i w:val="false"/>
          <w:iCs w:val="false"/>
          <w:color w:val="000000"/>
          <w:sz w:val="22"/>
          <w:szCs w:val="22"/>
        </w:rPr>
        <w:t xml:space="preserve">Every non-human actor (MACHINE and AI_AGENT) MUST link to an active human supervisor. The supervisor's contact_hash MUST appear in the actor's capability envelope and MUST resolve to an active L2 or L3 human chain at the time of any Tier 3 interaction.</w:t>
      </w:r>
    </w:p>
    <w:p>
      <w:pPr>
        <w:spacing w:before="120" w:after="120"/>
        <w:jc w:val="left"/>
      </w:pPr>
      <w:r>
        <w:rPr>
          <w:rFonts w:ascii="Arial" w:cs="Arial" w:eastAsia="Arial" w:hAnsi="Arial"/>
          <w:b w:val="false"/>
          <w:bCs w:val="false"/>
          <w:i w:val="false"/>
          <w:iCs w:val="false"/>
          <w:color w:val="000000"/>
          <w:sz w:val="22"/>
          <w:szCs w:val="22"/>
        </w:rPr>
        <w:t xml:space="preserve">An actor without a valid supervision chain reference CANNOT perform Tier 3 interactions. This is a cryptographic precondition, not a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40"/>
              <w:left w:type="dxa" w:w="240"/>
              <w:bottom w:type="dxa" w:w="140"/>
              <w:right w:type="dxa" w:w="240"/>
            </w:tcMar>
          </w:tcPr>
          <w:p>
            <w:pPr>
              <w:spacing w:before="0" w:after="80"/>
            </w:pPr>
            <w:r>
              <w:rPr>
                <w:rFonts w:ascii="Arial" w:cs="Arial" w:eastAsia="Arial" w:hAnsi="Arial"/>
                <w:b/>
                <w:bCs/>
                <w:color w:val="0D7377"/>
                <w:sz w:val="22"/>
                <w:szCs w:val="22"/>
              </w:rPr>
              <w:t xml:space="preserve">The Supervision Chain Principle</w:t>
            </w:r>
          </w:p>
          <w:p>
            <w:pPr>
              <w:spacing w:before="0" w:after="40"/>
            </w:pPr>
            <w:r>
              <w:rPr>
                <w:rFonts w:ascii="Arial" w:cs="Arial" w:eastAsia="Arial" w:hAnsi="Arial"/>
                <w:i w:val="false"/>
                <w:iCs w:val="false"/>
                <w:color w:val="000000"/>
                <w:sz w:val="21"/>
                <w:szCs w:val="21"/>
              </w:rPr>
              <w:t xml:space="preserve">UCCO does not debate whether autonomous systems should be supervised.</w:t>
            </w:r>
          </w:p>
          <w:p>
            <w:pPr>
              <w:spacing w:before="0" w:after="40"/>
            </w:pPr>
            <w:r>
              <w:rPr>
                <w:rFonts w:ascii="Arial" w:cs="Arial" w:eastAsia="Arial" w:hAnsi="Arial"/>
                <w:i w:val="false"/>
                <w:iCs w:val="false"/>
                <w:color w:val="000000"/>
                <w:sz w:val="21"/>
                <w:szCs w:val="21"/>
              </w:rPr>
              <w:t xml:space="preserve">UCCO makes the supervision chain cryptographically mandatory.</w:t>
            </w:r>
          </w:p>
          <w:p>
            <w:pPr>
              <w:spacing w:before="0" w:after="60"/>
            </w:pPr>
            <w:r>
              <w:rPr>
                <w:rFonts w:ascii="Arial" w:cs="Arial" w:eastAsia="Arial" w:hAnsi="Arial"/>
                <w:i w:val="false"/>
                <w:iCs w:val="false"/>
                <w:color w:val="000000"/>
                <w:sz w:val="21"/>
                <w:szCs w:val="21"/>
              </w:rPr>
              <w:t xml:space="preserve"/>
            </w:r>
          </w:p>
          <w:p>
            <w:pPr>
              <w:spacing w:before="0" w:after="40"/>
            </w:pPr>
            <w:r>
              <w:rPr>
                <w:rFonts w:ascii="Arial" w:cs="Arial" w:eastAsia="Arial" w:hAnsi="Arial"/>
                <w:i w:val="false"/>
                <w:iCs w:val="false"/>
                <w:color w:val="000000"/>
                <w:sz w:val="21"/>
                <w:szCs w:val="21"/>
              </w:rPr>
              <w:t xml:space="preserve">If you cannot name a human who is chain-verified to be responsible</w:t>
            </w:r>
          </w:p>
          <w:p>
            <w:pPr>
              <w:spacing w:before="0" w:after="40"/>
            </w:pPr>
            <w:r>
              <w:rPr>
                <w:rFonts w:ascii="Arial" w:cs="Arial" w:eastAsia="Arial" w:hAnsi="Arial"/>
                <w:i w:val="false"/>
                <w:iCs w:val="false"/>
                <w:color w:val="000000"/>
                <w:sz w:val="21"/>
                <w:szCs w:val="21"/>
              </w:rPr>
              <w:t xml:space="preserve">for this machine's actions, the machine does not act.</w:t>
            </w:r>
          </w:p>
        </w:tc>
      </w:tr>
    </w:tbl>
    <w:p>
      <w:pPr>
        <w:pStyle w:val="Heading2"/>
        <w:spacing w:before="280" w:after="120"/>
      </w:pPr>
      <w:r>
        <w:rPr>
          <w:rFonts w:ascii="Arial" w:cs="Arial" w:eastAsia="Arial" w:hAnsi="Arial"/>
          <w:b/>
          <w:bCs/>
          <w:color w:val="1A3A5C"/>
          <w:sz w:val="28"/>
          <w:szCs w:val="28"/>
        </w:rPr>
        <w:t xml:space="preserve">10.2 Capability Request</w:t>
      </w:r>
    </w:p>
    <w:p>
      <w:pPr>
        <w:spacing w:before="120" w:after="120"/>
        <w:jc w:val="left"/>
      </w:pPr>
      <w:r>
        <w:rPr>
          <w:rFonts w:ascii="Arial" w:cs="Arial" w:eastAsia="Arial" w:hAnsi="Arial"/>
          <w:b w:val="false"/>
          <w:bCs w:val="false"/>
          <w:i w:val="false"/>
          <w:iCs w:val="false"/>
          <w:color w:val="000000"/>
          <w:sz w:val="22"/>
          <w:szCs w:val="22"/>
        </w:rPr>
        <w:t xml:space="preserve">The capability request is the mechanism by which a non-human actor escalates to human authority at the boundary of its certified envelope. It is not an error condition — it is a designed feature. Required trigger conditions:</w:t>
      </w:r>
    </w:p>
    <w:p>
      <w:pPr>
        <w:pStyle w:val="ListParagraph"/>
        <w:numPr>
          <w:ilvl w:val="0"/>
          <w:numId w:val="3"/>
        </w:numPr>
        <w:spacing w:before="60" w:after="60"/>
      </w:pPr>
      <w:r>
        <w:rPr>
          <w:rFonts w:ascii="Arial" w:cs="Arial" w:eastAsia="Arial" w:hAnsi="Arial"/>
          <w:color w:val="000000"/>
          <w:sz w:val="22"/>
          <w:szCs w:val="22"/>
        </w:rPr>
        <w:t xml:space="preserve">Situation requires a decision outside the actor's certified capability scope</w:t>
      </w:r>
    </w:p>
    <w:p>
      <w:pPr>
        <w:pStyle w:val="ListParagraph"/>
        <w:numPr>
          <w:ilvl w:val="0"/>
          <w:numId w:val="3"/>
        </w:numPr>
        <w:spacing w:before="60" w:after="60"/>
      </w:pPr>
      <w:r>
        <w:rPr>
          <w:rFonts w:ascii="Arial" w:cs="Arial" w:eastAsia="Arial" w:hAnsi="Arial"/>
          <w:color w:val="000000"/>
          <w:sz w:val="22"/>
          <w:szCs w:val="22"/>
        </w:rPr>
        <w:t xml:space="preserve">A hard limit in the capability envelope has been reached</w:t>
      </w:r>
    </w:p>
    <w:p>
      <w:pPr>
        <w:pStyle w:val="ListParagraph"/>
        <w:numPr>
          <w:ilvl w:val="0"/>
          <w:numId w:val="3"/>
        </w:numPr>
        <w:spacing w:before="60" w:after="60"/>
      </w:pPr>
      <w:r>
        <w:rPr>
          <w:rFonts w:ascii="Arial" w:cs="Arial" w:eastAsia="Arial" w:hAnsi="Arial"/>
          <w:color w:val="000000"/>
          <w:sz w:val="22"/>
          <w:szCs w:val="22"/>
        </w:rPr>
        <w:t xml:space="preserve">Sensor data or situational assessment cannot be resolved within the certainty threshold defined in the envelope</w:t>
      </w:r>
    </w:p>
    <w:p>
      <w:pPr>
        <w:pStyle w:val="ListParagraph"/>
        <w:numPr>
          <w:ilvl w:val="0"/>
          <w:numId w:val="3"/>
        </w:numPr>
        <w:spacing w:before="60" w:after="60"/>
      </w:pPr>
      <w:r>
        <w:rPr>
          <w:rFonts w:ascii="Arial" w:cs="Arial" w:eastAsia="Arial" w:hAnsi="Arial"/>
          <w:color w:val="000000"/>
          <w:sz w:val="22"/>
          <w:szCs w:val="22"/>
        </w:rPr>
        <w:t xml:space="preserve">Anomaly detected outside the actor's certified response repertoire</w:t>
      </w:r>
    </w:p>
    <w:p>
      <w:pPr>
        <w:pStyle w:val="ListParagraph"/>
        <w:numPr>
          <w:ilvl w:val="0"/>
          <w:numId w:val="3"/>
        </w:numPr>
        <w:spacing w:before="60" w:after="60"/>
      </w:pPr>
      <w:r>
        <w:rPr>
          <w:rFonts w:ascii="Arial" w:cs="Arial" w:eastAsia="Arial" w:hAnsi="Arial"/>
          <w:color w:val="000000"/>
          <w:sz w:val="22"/>
          <w:szCs w:val="22"/>
        </w:rPr>
        <w:t xml:space="preserve">Operational budget threshold reached</w:t>
      </w:r>
    </w:p>
    <w:p>
      <w:pPr>
        <w:spacing w:before="60" w:after="120"/>
      </w:pPr>
      <w:r>
        <w:t xml:space="preserve"/>
      </w:r>
    </w:p>
    <w:p>
      <w:pPr>
        <w:spacing w:before="120" w:after="120"/>
        <w:jc w:val="left"/>
      </w:pPr>
      <w:r>
        <w:rPr>
          <w:rFonts w:ascii="Arial" w:cs="Arial" w:eastAsia="Arial" w:hAnsi="Arial"/>
          <w:b w:val="false"/>
          <w:bCs w:val="false"/>
          <w:i w:val="false"/>
          <w:iCs w:val="false"/>
          <w:color w:val="000000"/>
          <w:sz w:val="22"/>
          <w:szCs w:val="22"/>
        </w:rPr>
        <w:t xml:space="preserve">A capability_request chain event MUST include:</w:t>
      </w:r>
    </w:p>
    <w:p>
      <w:pPr>
        <w:pStyle w:val="ListParagraph"/>
        <w:numPr>
          <w:ilvl w:val="0"/>
          <w:numId w:val="2"/>
        </w:numPr>
        <w:spacing w:before="60" w:after="60"/>
      </w:pPr>
      <w:r>
        <w:rPr>
          <w:rFonts w:ascii="Arial" w:cs="Arial" w:eastAsia="Arial" w:hAnsi="Arial"/>
          <w:color w:val="000000"/>
          <w:sz w:val="22"/>
          <w:szCs w:val="22"/>
        </w:rPr>
        <w:t xml:space="preserve">capability_id that is insufficient for the current situation</w:t>
      </w:r>
    </w:p>
    <w:p>
      <w:pPr>
        <w:pStyle w:val="ListParagraph"/>
        <w:numPr>
          <w:ilvl w:val="0"/>
          <w:numId w:val="2"/>
        </w:numPr>
        <w:spacing w:before="60" w:after="60"/>
      </w:pPr>
      <w:r>
        <w:rPr>
          <w:rFonts w:ascii="Arial" w:cs="Arial" w:eastAsia="Arial" w:hAnsi="Arial"/>
          <w:color w:val="000000"/>
          <w:sz w:val="22"/>
          <w:szCs w:val="22"/>
        </w:rPr>
        <w:t xml:space="preserve">Minimum capability_id required in the responding actor's envelope</w:t>
      </w:r>
    </w:p>
    <w:p>
      <w:pPr>
        <w:pStyle w:val="ListParagraph"/>
        <w:numPr>
          <w:ilvl w:val="0"/>
          <w:numId w:val="2"/>
        </w:numPr>
        <w:spacing w:before="60" w:after="60"/>
      </w:pPr>
      <w:r>
        <w:rPr>
          <w:rFonts w:ascii="Arial" w:cs="Arial" w:eastAsia="Arial" w:hAnsi="Arial"/>
          <w:color w:val="000000"/>
          <w:sz w:val="22"/>
          <w:szCs w:val="22"/>
        </w:rPr>
        <w:t xml:space="preserve">Minimum trust level required in the responding actor</w:t>
      </w:r>
    </w:p>
    <w:p>
      <w:pPr>
        <w:pStyle w:val="ListParagraph"/>
        <w:numPr>
          <w:ilvl w:val="0"/>
          <w:numId w:val="2"/>
        </w:numPr>
        <w:spacing w:before="60" w:after="60"/>
      </w:pPr>
      <w:r>
        <w:rPr>
          <w:rFonts w:ascii="Arial" w:cs="Arial" w:eastAsia="Arial" w:hAnsi="Arial"/>
          <w:color w:val="000000"/>
          <w:sz w:val="22"/>
          <w:szCs w:val="22"/>
        </w:rPr>
        <w:t xml:space="preserve">All evidence gathered to the decision boundary — cryptographically signed, UTC timestamped</w:t>
      </w:r>
    </w:p>
    <w:p>
      <w:pPr>
        <w:pStyle w:val="ListParagraph"/>
        <w:numPr>
          <w:ilvl w:val="0"/>
          <w:numId w:val="2"/>
        </w:numPr>
        <w:spacing w:before="60" w:after="60"/>
      </w:pPr>
      <w:r>
        <w:rPr>
          <w:rFonts w:ascii="Arial" w:cs="Arial" w:eastAsia="Arial" w:hAnsi="Arial"/>
          <w:color w:val="000000"/>
          <w:sz w:val="22"/>
          <w:szCs w:val="22"/>
        </w:rPr>
        <w:t xml:space="preserve">Last known good attestation state</w:t>
      </w:r>
    </w:p>
    <w:p>
      <w:pPr>
        <w:pStyle w:val="ListParagraph"/>
        <w:numPr>
          <w:ilvl w:val="0"/>
          <w:numId w:val="2"/>
        </w:numPr>
        <w:spacing w:before="60" w:after="60"/>
      </w:pPr>
      <w:r>
        <w:rPr>
          <w:rFonts w:ascii="Arial" w:cs="Arial" w:eastAsia="Arial" w:hAnsi="Arial"/>
          <w:color w:val="000000"/>
          <w:sz w:val="22"/>
          <w:szCs w:val="22"/>
        </w:rPr>
        <w:t xml:space="preserve">Human-readable description of the decision required</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40"/>
              <w:left w:type="dxa" w:w="240"/>
              <w:bottom w:type="dxa" w:w="140"/>
              <w:right w:type="dxa" w:w="240"/>
            </w:tcMar>
          </w:tcPr>
          <w:p>
            <w:pPr>
              <w:spacing w:before="0" w:after="80"/>
            </w:pPr>
            <w:r>
              <w:rPr>
                <w:rFonts w:ascii="Arial" w:cs="Arial" w:eastAsia="Arial" w:hAnsi="Arial"/>
                <w:b/>
                <w:bCs/>
                <w:color w:val="0D7377"/>
                <w:sz w:val="22"/>
                <w:szCs w:val="22"/>
              </w:rPr>
              <w:t xml:space="preserve">The Surgical Robot Example</w:t>
            </w:r>
          </w:p>
          <w:p>
            <w:pPr>
              <w:spacing w:before="0" w:after="40"/>
            </w:pPr>
            <w:r>
              <w:rPr>
                <w:rFonts w:ascii="Arial" w:cs="Arial" w:eastAsia="Arial" w:hAnsi="Arial"/>
                <w:i w:val="false"/>
                <w:iCs w:val="false"/>
                <w:color w:val="000000"/>
                <w:sz w:val="21"/>
                <w:szCs w:val="21"/>
              </w:rPr>
              <w:t xml:space="preserve">A surgical robot's onboard model assesses a tissue sample.</w:t>
            </w:r>
          </w:p>
          <w:p>
            <w:pPr>
              <w:spacing w:before="0" w:after="40"/>
            </w:pPr>
            <w:r>
              <w:rPr>
                <w:rFonts w:ascii="Arial" w:cs="Arial" w:eastAsia="Arial" w:hAnsi="Arial"/>
                <w:i w:val="false"/>
                <w:iCs w:val="false"/>
                <w:color w:val="000000"/>
                <w:sz w:val="21"/>
                <w:szCs w:val="21"/>
              </w:rPr>
              <w:t xml:space="preserve">Classification: Grade 2 or Grade 3 malignancy — the model cannot determine with certainty.</w:t>
            </w:r>
          </w:p>
          <w:p>
            <w:pPr>
              <w:spacing w:before="0" w:after="40"/>
            </w:pPr>
            <w:r>
              <w:rPr>
                <w:rFonts w:ascii="Arial" w:cs="Arial" w:eastAsia="Arial" w:hAnsi="Arial"/>
                <w:i w:val="false"/>
                <w:iCs w:val="false"/>
                <w:color w:val="000000"/>
                <w:sz w:val="21"/>
                <w:szCs w:val="21"/>
              </w:rPr>
              <w:t xml:space="preserve">The capability envelope does not cover autonomous action at this boundary.</w:t>
            </w:r>
          </w:p>
          <w:p>
            <w:pPr>
              <w:spacing w:before="0" w:after="60"/>
            </w:pPr>
            <w:r>
              <w:rPr>
                <w:rFonts w:ascii="Arial" w:cs="Arial" w:eastAsia="Arial" w:hAnsi="Arial"/>
                <w:i w:val="false"/>
                <w:iCs w:val="false"/>
                <w:color w:val="000000"/>
                <w:sz w:val="21"/>
                <w:szCs w:val="21"/>
              </w:rPr>
              <w:t xml:space="preserve"/>
            </w:r>
          </w:p>
          <w:p>
            <w:pPr>
              <w:spacing w:before="0" w:after="40"/>
            </w:pPr>
            <w:r>
              <w:rPr>
                <w:rFonts w:ascii="Arial" w:cs="Arial" w:eastAsia="Arial" w:hAnsi="Arial"/>
                <w:i w:val="false"/>
                <w:iCs w:val="false"/>
                <w:color w:val="000000"/>
                <w:sz w:val="21"/>
                <w:szCs w:val="21"/>
              </w:rPr>
              <w:t xml:space="preserve">The robot packages all evidence: every sensor reading, every image, every data point.</w:t>
            </w:r>
          </w:p>
          <w:p>
            <w:pPr>
              <w:spacing w:before="0" w:after="40"/>
            </w:pPr>
            <w:r>
              <w:rPr>
                <w:rFonts w:ascii="Arial" w:cs="Arial" w:eastAsia="Arial" w:hAnsi="Arial"/>
                <w:i w:val="false"/>
                <w:iCs w:val="false"/>
                <w:color w:val="000000"/>
                <w:sz w:val="21"/>
                <w:szCs w:val="21"/>
              </w:rPr>
              <w:t xml:space="preserve">Cryptographically signed. UTC timestamped. Hash-anchored in a chain event.</w:t>
            </w:r>
          </w:p>
          <w:p>
            <w:pPr>
              <w:spacing w:before="0" w:after="40"/>
            </w:pPr>
            <w:r>
              <w:rPr>
                <w:rFonts w:ascii="Arial" w:cs="Arial" w:eastAsia="Arial" w:hAnsi="Arial"/>
                <w:i w:val="false"/>
                <w:iCs w:val="false"/>
                <w:color w:val="000000"/>
                <w:sz w:val="21"/>
                <w:szCs w:val="21"/>
              </w:rPr>
              <w:t xml:space="preserve">It emits a capability_request: I require a certified human at Grade 3 oncology L3</w:t>
            </w:r>
          </w:p>
          <w:p>
            <w:pPr>
              <w:spacing w:before="0" w:after="40"/>
            </w:pPr>
            <w:r>
              <w:rPr>
                <w:rFonts w:ascii="Arial" w:cs="Arial" w:eastAsia="Arial" w:hAnsi="Arial"/>
                <w:i w:val="false"/>
                <w:iCs w:val="false"/>
                <w:color w:val="000000"/>
                <w:sz w:val="21"/>
                <w:szCs w:val="21"/>
              </w:rPr>
              <w:t xml:space="preserve">to assess this evidence and provide protocol authorisation.</w:t>
            </w:r>
          </w:p>
          <w:p>
            <w:pPr>
              <w:spacing w:before="0" w:after="60"/>
            </w:pPr>
            <w:r>
              <w:rPr>
                <w:rFonts w:ascii="Arial" w:cs="Arial" w:eastAsia="Arial" w:hAnsi="Arial"/>
                <w:i w:val="false"/>
                <w:iCs w:val="false"/>
                <w:color w:val="000000"/>
                <w:sz w:val="21"/>
                <w:szCs w:val="21"/>
              </w:rPr>
              <w:t xml:space="preserve"/>
            </w:r>
          </w:p>
          <w:p>
            <w:pPr>
              <w:spacing w:before="0" w:after="40"/>
            </w:pPr>
            <w:r>
              <w:rPr>
                <w:rFonts w:ascii="Arial" w:cs="Arial" w:eastAsia="Arial" w:hAnsi="Arial"/>
                <w:i w:val="false"/>
                <w:iCs w:val="false"/>
                <w:color w:val="000000"/>
                <w:sz w:val="21"/>
                <w:szCs w:val="21"/>
              </w:rPr>
              <w:t xml:space="preserve">The chain finds the right human — chain-verified, K2 present, biometric confirmed.</w:t>
            </w:r>
          </w:p>
          <w:p>
            <w:pPr>
              <w:spacing w:before="0" w:after="40"/>
            </w:pPr>
            <w:r>
              <w:rPr>
                <w:rFonts w:ascii="Arial" w:cs="Arial" w:eastAsia="Arial" w:hAnsi="Arial"/>
                <w:i w:val="false"/>
                <w:iCs w:val="false"/>
                <w:color w:val="000000"/>
                <w:sz w:val="21"/>
                <w:szCs w:val="21"/>
              </w:rPr>
              <w:t xml:space="preserve">Human reviews, authorises, acts. Chain records: machine evidence + human decision</w:t>
            </w:r>
          </w:p>
          <w:p>
            <w:pPr>
              <w:spacing w:before="0" w:after="40"/>
            </w:pPr>
            <w:r>
              <w:rPr>
                <w:rFonts w:ascii="Arial" w:cs="Arial" w:eastAsia="Arial" w:hAnsi="Arial"/>
                <w:i w:val="false"/>
                <w:iCs w:val="false"/>
                <w:color w:val="000000"/>
                <w:sz w:val="21"/>
                <w:szCs w:val="21"/>
              </w:rPr>
              <w:t xml:space="preserve">+ authorisation + action taken. One unbroken chain of custody.</w:t>
            </w:r>
          </w:p>
          <w:p>
            <w:pPr>
              <w:spacing w:before="0" w:after="60"/>
            </w:pPr>
            <w:r>
              <w:rPr>
                <w:rFonts w:ascii="Arial" w:cs="Arial" w:eastAsia="Arial" w:hAnsi="Arial"/>
                <w:i w:val="false"/>
                <w:iCs w:val="false"/>
                <w:color w:val="000000"/>
                <w:sz w:val="21"/>
                <w:szCs w:val="21"/>
              </w:rPr>
              <w:t xml:space="preserve"/>
            </w:r>
          </w:p>
          <w:p>
            <w:pPr>
              <w:spacing w:before="0" w:after="40"/>
            </w:pPr>
            <w:r>
              <w:rPr>
                <w:rFonts w:ascii="Arial" w:cs="Arial" w:eastAsia="Arial" w:hAnsi="Arial"/>
                <w:i/>
                <w:iCs/>
                <w:color w:val="000000"/>
                <w:sz w:val="21"/>
                <w:szCs w:val="21"/>
              </w:rPr>
              <w:t xml:space="preserve">"Nobody can say we don't know what happened."</w:t>
            </w:r>
          </w:p>
        </w:tc>
      </w:tr>
    </w:tbl>
    <w:p>
      <w:pPr>
        <w:pStyle w:val="Heading2"/>
        <w:spacing w:before="280" w:after="120"/>
      </w:pPr>
      <w:r>
        <w:rPr>
          <w:rFonts w:ascii="Arial" w:cs="Arial" w:eastAsia="Arial" w:hAnsi="Arial"/>
          <w:b/>
          <w:bCs/>
          <w:color w:val="1A3A5C"/>
          <w:sz w:val="28"/>
          <w:szCs w:val="28"/>
        </w:rPr>
        <w:t xml:space="preserve">10.3 Delegated Fleet Authority (DFA) [DRAFT]</w:t>
      </w:r>
    </w:p>
    <w:p>
      <w:pPr>
        <w:spacing w:before="120" w:after="120"/>
        <w:jc w:val="left"/>
      </w:pPr>
      <w:r>
        <w:rPr>
          <w:rFonts w:ascii="Arial" w:cs="Arial" w:eastAsia="Arial" w:hAnsi="Arial"/>
          <w:b w:val="false"/>
          <w:bCs w:val="false"/>
          <w:i w:val="false"/>
          <w:iCs w:val="false"/>
          <w:color w:val="000000"/>
          <w:sz w:val="22"/>
          <w:szCs w:val="22"/>
        </w:rPr>
        <w:t xml:space="preserve">For large non-human actor deployments, individual supervision of every Tier 3 interaction is operationally impractical. DFA allows one human supervisor to set aggregate operational bounds for multiple actors through a cryptographically signed policy document.</w:t>
      </w:r>
    </w:p>
    <w:p>
      <w:pPr>
        <w:spacing w:before="120" w:after="120"/>
        <w:jc w:val="left"/>
      </w:pPr>
      <w:r>
        <w:rPr>
          <w:rFonts w:ascii="Arial" w:cs="Arial" w:eastAsia="Arial" w:hAnsi="Arial"/>
          <w:b w:val="false"/>
          <w:bCs w:val="false"/>
          <w:i w:val="false"/>
          <w:iCs w:val="false"/>
          <w:color w:val="000000"/>
          <w:sz w:val="22"/>
          <w:szCs w:val="22"/>
        </w:rPr>
        <w:t xml:space="preserve">A DFA policy document contains:</w:t>
      </w:r>
    </w:p>
    <w:p>
      <w:pPr>
        <w:pStyle w:val="ListParagraph"/>
        <w:numPr>
          <w:ilvl w:val="0"/>
          <w:numId w:val="2"/>
        </w:numPr>
        <w:spacing w:before="60" w:after="60"/>
      </w:pPr>
      <w:r>
        <w:rPr>
          <w:rFonts w:ascii="Arial" w:cs="Arial" w:eastAsia="Arial" w:hAnsi="Arial"/>
          <w:color w:val="000000"/>
          <w:sz w:val="22"/>
          <w:szCs w:val="22"/>
        </w:rPr>
        <w:t xml:space="preserve">Supervisor contact_hash and current chain tip hash at policy signing</w:t>
      </w:r>
    </w:p>
    <w:p>
      <w:pPr>
        <w:pStyle w:val="ListParagraph"/>
        <w:numPr>
          <w:ilvl w:val="0"/>
          <w:numId w:val="2"/>
        </w:numPr>
        <w:spacing w:before="60" w:after="60"/>
      </w:pPr>
      <w:r>
        <w:rPr>
          <w:rFonts w:ascii="Arial" w:cs="Arial" w:eastAsia="Arial" w:hAnsi="Arial"/>
          <w:color w:val="000000"/>
          <w:sz w:val="22"/>
          <w:szCs w:val="22"/>
        </w:rPr>
        <w:t xml:space="preserve">Set of actor contact_hashes covered by this policy</w:t>
      </w:r>
    </w:p>
    <w:p>
      <w:pPr>
        <w:pStyle w:val="ListParagraph"/>
        <w:numPr>
          <w:ilvl w:val="0"/>
          <w:numId w:val="2"/>
        </w:numPr>
        <w:spacing w:before="60" w:after="60"/>
      </w:pPr>
      <w:r>
        <w:rPr>
          <w:rFonts w:ascii="Arial" w:cs="Arial" w:eastAsia="Arial" w:hAnsi="Arial"/>
          <w:color w:val="000000"/>
          <w:sz w:val="22"/>
          <w:szCs w:val="22"/>
        </w:rPr>
        <w:t xml:space="preserve">Aggregate limits: total operation count, total operational hours, geofence or scope boundaries, total budget ceiling</w:t>
      </w:r>
    </w:p>
    <w:p>
      <w:pPr>
        <w:pStyle w:val="ListParagraph"/>
        <w:numPr>
          <w:ilvl w:val="0"/>
          <w:numId w:val="2"/>
        </w:numPr>
        <w:spacing w:before="60" w:after="60"/>
      </w:pPr>
      <w:r>
        <w:rPr>
          <w:rFonts w:ascii="Arial" w:cs="Arial" w:eastAsia="Arial" w:hAnsi="Arial"/>
          <w:color w:val="000000"/>
          <w:sz w:val="22"/>
          <w:szCs w:val="22"/>
        </w:rPr>
        <w:t xml:space="preserve">Per-actor limits that supplement (but do not replace) individual envelope hard_limits</w:t>
      </w:r>
    </w:p>
    <w:p>
      <w:pPr>
        <w:pStyle w:val="ListParagraph"/>
        <w:numPr>
          <w:ilvl w:val="0"/>
          <w:numId w:val="2"/>
        </w:numPr>
        <w:spacing w:before="60" w:after="60"/>
      </w:pPr>
      <w:r>
        <w:rPr>
          <w:rFonts w:ascii="Arial" w:cs="Arial" w:eastAsia="Arial" w:hAnsi="Arial"/>
          <w:color w:val="000000"/>
          <w:sz w:val="22"/>
          <w:szCs w:val="22"/>
        </w:rPr>
        <w:t xml:space="preserve">Policy expiry timestamp</w:t>
      </w:r>
    </w:p>
    <w:p>
      <w:pPr>
        <w:pStyle w:val="ListParagraph"/>
        <w:numPr>
          <w:ilvl w:val="0"/>
          <w:numId w:val="2"/>
        </w:numPr>
        <w:spacing w:before="60" w:after="60"/>
      </w:pPr>
      <w:r>
        <w:rPr>
          <w:rFonts w:ascii="Arial" w:cs="Arial" w:eastAsia="Arial" w:hAnsi="Arial"/>
          <w:color w:val="000000"/>
          <w:sz w:val="22"/>
          <w:szCs w:val="22"/>
        </w:rPr>
        <w:t xml:space="preserve">Ed25519 signature of the supervisor over the canonical policy hash</w:t>
      </w:r>
    </w:p>
    <w:p>
      <w:pPr>
        <w:spacing w:before="120" w:after="120"/>
        <w:jc w:val="left"/>
      </w:pPr>
      <w:r>
        <w:rPr>
          <w:rFonts w:ascii="Arial" w:cs="Arial" w:eastAsia="Arial" w:hAnsi="Arial"/>
          <w:b w:val="false"/>
          <w:bCs w:val="false"/>
          <w:i w:val="false"/>
          <w:iCs w:val="false"/>
          <w:color w:val="000000"/>
          <w:sz w:val="22"/>
          <w:szCs w:val="22"/>
        </w:rPr>
        <w:t xml:space="preserve">The SHA-256 of the DFA policy document is stored as dfa_policy_hash in each covered actor's capability envelope. At runtime, actors verify the DFA policy hash matches the policy document before proceeding with Tier 3 interactions.</w:t>
      </w:r>
    </w:p>
    <w:p>
      <w:pPr>
        <w:pStyle w:val="Heading2"/>
        <w:spacing w:before="280" w:after="120"/>
      </w:pPr>
      <w:r>
        <w:rPr>
          <w:rFonts w:ascii="Arial" w:cs="Arial" w:eastAsia="Arial" w:hAnsi="Arial"/>
          <w:b/>
          <w:bCs/>
          <w:color w:val="1A3A5C"/>
          <w:sz w:val="28"/>
          <w:szCs w:val="28"/>
        </w:rPr>
        <w:t xml:space="preserve">10.4 DFA Grace Period</w:t>
      </w:r>
    </w:p>
    <w:p>
      <w:pPr>
        <w:spacing w:before="120" w:after="120"/>
        <w:jc w:val="left"/>
      </w:pPr>
      <w:r>
        <w:rPr>
          <w:rFonts w:ascii="Arial" w:cs="Arial" w:eastAsia="Arial" w:hAnsi="Arial"/>
          <w:b w:val="false"/>
          <w:bCs w:val="false"/>
          <w:i w:val="false"/>
          <w:iCs w:val="false"/>
          <w:color w:val="000000"/>
          <w:sz w:val="22"/>
          <w:szCs w:val="22"/>
        </w:rPr>
        <w:t xml:space="preserve">If a supervisor's chain expires, is suspended (L4), or is revoked (L5), the following applies to dependent DFA policies:</w:t>
      </w:r>
    </w:p>
    <w:p>
      <w:pPr>
        <w:pStyle w:val="ListParagraph"/>
        <w:numPr>
          <w:ilvl w:val="0"/>
          <w:numId w:val="2"/>
        </w:numPr>
        <w:spacing w:before="60" w:after="60"/>
      </w:pPr>
      <w:r>
        <w:rPr>
          <w:rFonts w:ascii="Arial" w:cs="Arial" w:eastAsia="Arial" w:hAnsi="Arial"/>
          <w:color w:val="000000"/>
          <w:sz w:val="22"/>
          <w:szCs w:val="22"/>
        </w:rPr>
        <w:t xml:space="preserve">A supervisor_grace_period_active chain event is recorded immediately on all dependent actors</w:t>
      </w:r>
    </w:p>
    <w:p>
      <w:pPr>
        <w:pStyle w:val="ListParagraph"/>
        <w:numPr>
          <w:ilvl w:val="0"/>
          <w:numId w:val="2"/>
        </w:numPr>
        <w:spacing w:before="60" w:after="60"/>
      </w:pPr>
      <w:r>
        <w:rPr>
          <w:rFonts w:ascii="Arial" w:cs="Arial" w:eastAsia="Arial" w:hAnsi="Arial"/>
          <w:color w:val="000000"/>
          <w:sz w:val="22"/>
          <w:szCs w:val="22"/>
        </w:rPr>
        <w:t xml:space="preserve">Existing DFA policies remain valid for 24 hours from the supervisor chain status change</w:t>
      </w:r>
    </w:p>
    <w:p>
      <w:pPr>
        <w:pStyle w:val="ListParagraph"/>
        <w:numPr>
          <w:ilvl w:val="0"/>
          <w:numId w:val="2"/>
        </w:numPr>
        <w:spacing w:before="60" w:after="60"/>
      </w:pPr>
      <w:r>
        <w:rPr>
          <w:rFonts w:ascii="Arial" w:cs="Arial" w:eastAsia="Arial" w:hAnsi="Arial"/>
          <w:color w:val="000000"/>
          <w:sz w:val="22"/>
          <w:szCs w:val="22"/>
        </w:rPr>
        <w:t xml:space="preserve">During the grace period, actors may continue Tier 3 interactions within their existing envelope bounds</w:t>
      </w:r>
    </w:p>
    <w:p>
      <w:pPr>
        <w:pStyle w:val="ListParagraph"/>
        <w:numPr>
          <w:ilvl w:val="0"/>
          <w:numId w:val="2"/>
        </w:numPr>
        <w:spacing w:before="60" w:after="60"/>
      </w:pPr>
      <w:r>
        <w:rPr>
          <w:rFonts w:ascii="Arial" w:cs="Arial" w:eastAsia="Arial" w:hAnsi="Arial"/>
          <w:color w:val="000000"/>
          <w:sz w:val="22"/>
          <w:szCs w:val="22"/>
        </w:rPr>
        <w:t xml:space="preserve">After 24 hours, all dependent actors MUST suspend Tier 3 operations until re-linked to a new supervisor</w:t>
      </w:r>
    </w:p>
    <w:p>
      <w:pPr>
        <w:pStyle w:val="ListParagraph"/>
        <w:numPr>
          <w:ilvl w:val="0"/>
          <w:numId w:val="2"/>
        </w:numPr>
        <w:spacing w:before="60" w:after="60"/>
      </w:pPr>
      <w:r>
        <w:rPr>
          <w:rFonts w:ascii="Arial" w:cs="Arial" w:eastAsia="Arial" w:hAnsi="Arial"/>
          <w:color w:val="000000"/>
          <w:sz w:val="22"/>
          <w:szCs w:val="22"/>
        </w:rPr>
        <w:t xml:space="preserve">If the supervisor is revoked (L5) rather than merely expired, no grace period applies — suspension is immediate</w:t>
      </w:r>
    </w:p>
    <w:p>
      <w:pPr>
        <w:pStyle w:val="Heading2"/>
        <w:spacing w:before="280" w:after="120"/>
      </w:pPr>
      <w:r>
        <w:rPr>
          <w:rFonts w:ascii="Arial" w:cs="Arial" w:eastAsia="Arial" w:hAnsi="Arial"/>
          <w:b/>
          <w:bCs/>
          <w:color w:val="1A3A5C"/>
          <w:sz w:val="28"/>
          <w:szCs w:val="28"/>
        </w:rPr>
        <w:t xml:space="preserve">10.5 Supervision Transfer</w:t>
      </w:r>
    </w:p>
    <w:p>
      <w:pPr>
        <w:spacing w:before="120" w:after="120"/>
        <w:jc w:val="left"/>
      </w:pPr>
      <w:r>
        <w:rPr>
          <w:rFonts w:ascii="Arial" w:cs="Arial" w:eastAsia="Arial" w:hAnsi="Arial"/>
          <w:b w:val="false"/>
          <w:bCs w:val="false"/>
          <w:i w:val="false"/>
          <w:iCs w:val="false"/>
          <w:color w:val="000000"/>
          <w:sz w:val="22"/>
          <w:szCs w:val="22"/>
        </w:rPr>
        <w:t xml:space="preserve">A supervised actor is never without a supervisor. Supervision transfer requires simultaneous events: supervision_changed in the supervised actor's chain AND acceptance from the incoming supervisor (Tier 3). There is no gap.</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11. Revocation Propagation</w:t>
      </w:r>
    </w:p>
    <w:p>
      <w:pPr>
        <w:pStyle w:val="Heading2"/>
        <w:spacing w:before="280" w:after="120"/>
      </w:pPr>
      <w:r>
        <w:rPr>
          <w:rFonts w:ascii="Arial" w:cs="Arial" w:eastAsia="Arial" w:hAnsi="Arial"/>
          <w:b/>
          <w:bCs/>
          <w:color w:val="1A3A5C"/>
          <w:sz w:val="28"/>
          <w:szCs w:val="28"/>
        </w:rPr>
        <w:t xml:space="preserve">11.1 The Gap in Portable Proof Systems</w:t>
      </w:r>
    </w:p>
    <w:p>
      <w:pPr>
        <w:spacing w:before="120" w:after="120"/>
        <w:jc w:val="left"/>
      </w:pPr>
      <w:r>
        <w:rPr>
          <w:rFonts w:ascii="Arial" w:cs="Arial" w:eastAsia="Arial" w:hAnsi="Arial"/>
          <w:b w:val="false"/>
          <w:bCs w:val="false"/>
          <w:i w:val="false"/>
          <w:iCs w:val="false"/>
          <w:color w:val="000000"/>
          <w:sz w:val="22"/>
          <w:szCs w:val="22"/>
        </w:rPr>
        <w:t xml:space="preserve">A core feature of UCCO is the portable proof: a chain object verifiable by any relying party without calling back to the issuing authority. This property creates a revocation problem. If an actor's chain is revoked (chain_revoked), relying parties holding cached portable proofs have no automatic mechanism to learn of the revocation.</w:t>
      </w:r>
    </w:p>
    <w:p>
      <w:pPr>
        <w:spacing w:before="120" w:after="120"/>
        <w:jc w:val="left"/>
      </w:pPr>
      <w:r>
        <w:rPr>
          <w:rFonts w:ascii="Arial" w:cs="Arial" w:eastAsia="Arial" w:hAnsi="Arial"/>
          <w:b w:val="false"/>
          <w:bCs w:val="false"/>
          <w:i w:val="false"/>
          <w:iCs w:val="false"/>
          <w:color w:val="000000"/>
          <w:sz w:val="22"/>
          <w:szCs w:val="22"/>
        </w:rPr>
        <w:t xml:space="preserve">This section defines the normative revocation propagation protocol. It is a new addition in version 1.1 and addresses a gap not present in our v1.0 or in any comparable specification.</w:t>
      </w:r>
    </w:p>
    <w:p>
      <w:pPr>
        <w:pStyle w:val="Heading2"/>
        <w:spacing w:before="280" w:after="120"/>
      </w:pPr>
      <w:r>
        <w:rPr>
          <w:rFonts w:ascii="Arial" w:cs="Arial" w:eastAsia="Arial" w:hAnsi="Arial"/>
          <w:b/>
          <w:bCs/>
          <w:color w:val="1A3A5C"/>
          <w:sz w:val="28"/>
          <w:szCs w:val="28"/>
        </w:rPr>
        <w:t xml:space="preserve">11.2 Revocation Events</w:t>
      </w:r>
    </w:p>
    <w:p>
      <w:pPr>
        <w:spacing w:before="120" w:after="120"/>
        <w:jc w:val="left"/>
      </w:pPr>
      <w:r>
        <w:rPr>
          <w:rFonts w:ascii="Arial" w:cs="Arial" w:eastAsia="Arial" w:hAnsi="Arial"/>
          <w:b w:val="false"/>
          <w:bCs w:val="false"/>
          <w:i w:val="false"/>
          <w:iCs w:val="false"/>
          <w:color w:val="000000"/>
          <w:sz w:val="22"/>
          <w:szCs w:val="22"/>
        </w:rPr>
        <w:t xml:space="preserve">When chain_revoked is written, two additional events MUST be written synchronously:</w:t>
      </w:r>
    </w:p>
    <w:p>
      <w:pPr>
        <w:pStyle w:val="ListParagraph"/>
        <w:numPr>
          <w:ilvl w:val="0"/>
          <w:numId w:val="3"/>
        </w:numPr>
        <w:spacing w:before="60" w:after="60"/>
      </w:pPr>
      <w:r>
        <w:rPr>
          <w:rFonts w:ascii="Arial" w:cs="Arial" w:eastAsia="Arial" w:hAnsi="Arial"/>
          <w:color w:val="000000"/>
          <w:sz w:val="22"/>
          <w:szCs w:val="22"/>
        </w:rPr>
        <w:t xml:space="preserve">evidence_destroyed — recording K1 destruction and legal basis</w:t>
      </w:r>
    </w:p>
    <w:p>
      <w:pPr>
        <w:pStyle w:val="ListParagraph"/>
        <w:numPr>
          <w:ilvl w:val="0"/>
          <w:numId w:val="3"/>
        </w:numPr>
        <w:spacing w:before="60" w:after="60"/>
      </w:pPr>
      <w:r>
        <w:rPr>
          <w:rFonts w:ascii="Arial" w:cs="Arial" w:eastAsia="Arial" w:hAnsi="Arial"/>
          <w:color w:val="000000"/>
          <w:sz w:val="22"/>
          <w:szCs w:val="22"/>
        </w:rPr>
        <w:t xml:space="preserve">revocation_propagation_initiated — signalling all known relying parties to invalidate cached proofs</w:t>
      </w:r>
    </w:p>
    <w:p>
      <w:pPr>
        <w:spacing w:before="60" w:after="120"/>
      </w:pPr>
      <w:r>
        <w:t xml:space="preserve"/>
      </w:r>
    </w:p>
    <w:p>
      <w:pPr>
        <w:spacing w:before="120" w:after="120"/>
        <w:jc w:val="left"/>
      </w:pPr>
      <w:r>
        <w:rPr>
          <w:rFonts w:ascii="Arial" w:cs="Arial" w:eastAsia="Arial" w:hAnsi="Arial"/>
          <w:b w:val="false"/>
          <w:bCs w:val="false"/>
          <w:i w:val="false"/>
          <w:iCs w:val="false"/>
          <w:color w:val="000000"/>
          <w:sz w:val="22"/>
          <w:szCs w:val="22"/>
        </w:rPr>
        <w:t xml:space="preserve">The revocation_propagation_initiated payload MUST contain: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0F4F8" w:val="clear"/>
            <w:tcMar>
              <w:top w:type="dxa" w:w="120"/>
              <w:left w:type="dxa" w:w="240"/>
              <w:bottom w:type="dxa" w:w="120"/>
              <w:right w:type="dxa" w:w="240"/>
            </w:tcMar>
          </w:tcPr>
          <w:p>
            <w:pPr>
              <w:spacing w:before="0" w:after="30"/>
            </w:pPr>
            <w:r>
              <w:rPr>
                <w:rFonts w:ascii="Courier New" w:cs="Courier New" w:eastAsia="Courier New" w:hAnsi="Courier New"/>
                <w:color w:val="1A3A5C"/>
                <w:sz w:val="18"/>
                <w:szCs w:val="18"/>
              </w:rPr>
              <w:t xml:space="preserve">{</w:t>
            </w:r>
          </w:p>
          <w:p>
            <w:pPr>
              <w:spacing w:before="0" w:after="30"/>
            </w:pPr>
            <w:r>
              <w:rPr>
                <w:rFonts w:ascii="Courier New" w:cs="Courier New" w:eastAsia="Courier New" w:hAnsi="Courier New"/>
                <w:color w:val="1A3A5C"/>
                <w:sz w:val="18"/>
                <w:szCs w:val="18"/>
              </w:rPr>
              <w:t xml:space="preserve">  "event_type":          "revocation_propagation_initiated",</w:t>
            </w:r>
          </w:p>
          <w:p>
            <w:pPr>
              <w:spacing w:before="0" w:after="30"/>
            </w:pPr>
            <w:r>
              <w:rPr>
                <w:rFonts w:ascii="Courier New" w:cs="Courier New" w:eastAsia="Courier New" w:hAnsi="Courier New"/>
                <w:color w:val="1A3A5C"/>
                <w:sz w:val="18"/>
                <w:szCs w:val="18"/>
              </w:rPr>
              <w:t xml:space="preserve">  "revoked_actor_did":   "&lt;contact_hash_did of revoked actor&gt;",</w:t>
            </w:r>
          </w:p>
          <w:p>
            <w:pPr>
              <w:spacing w:before="0" w:after="30"/>
            </w:pPr>
            <w:r>
              <w:rPr>
                <w:rFonts w:ascii="Courier New" w:cs="Courier New" w:eastAsia="Courier New" w:hAnsi="Courier New"/>
                <w:color w:val="1A3A5C"/>
                <w:sz w:val="18"/>
                <w:szCs w:val="18"/>
              </w:rPr>
              <w:t xml:space="preserve">  "revocation_event_id": "&lt;event_id of chain_revoked event&gt;",</w:t>
            </w:r>
          </w:p>
          <w:p>
            <w:pPr>
              <w:spacing w:before="0" w:after="30"/>
            </w:pPr>
            <w:r>
              <w:rPr>
                <w:rFonts w:ascii="Courier New" w:cs="Courier New" w:eastAsia="Courier New" w:hAnsi="Courier New"/>
                <w:color w:val="1A3A5C"/>
                <w:sz w:val="18"/>
                <w:szCs w:val="18"/>
              </w:rPr>
              <w:t xml:space="preserve">  "revocation_timestamp": "&lt;RFC 3339 UTC&gt;",</w:t>
            </w:r>
          </w:p>
          <w:p>
            <w:pPr>
              <w:spacing w:before="0" w:after="30"/>
            </w:pPr>
            <w:r>
              <w:rPr>
                <w:rFonts w:ascii="Courier New" w:cs="Courier New" w:eastAsia="Courier New" w:hAnsi="Courier New"/>
                <w:color w:val="1A3A5C"/>
                <w:sz w:val="18"/>
                <w:szCs w:val="18"/>
              </w:rPr>
              <w:t xml:space="preserve">  "known_relying_parties": ["&lt;DID_1&gt;", "&lt;DID_2&gt;"],</w:t>
            </w:r>
          </w:p>
          <w:p>
            <w:pPr>
              <w:spacing w:before="0" w:after="30"/>
            </w:pPr>
            <w:r>
              <w:rPr>
                <w:rFonts w:ascii="Courier New" w:cs="Courier New" w:eastAsia="Courier New" w:hAnsi="Courier New"/>
                <w:color w:val="1A3A5C"/>
                <w:sz w:val="18"/>
                <w:szCs w:val="18"/>
              </w:rPr>
              <w:t xml:space="preserve">  "propagation_method":  "PUSH | PUBLISH | BOTH",</w:t>
            </w:r>
          </w:p>
          <w:p>
            <w:pPr>
              <w:spacing w:before="0" w:after="30"/>
            </w:pPr>
            <w:r>
              <w:rPr>
                <w:rFonts w:ascii="Courier New" w:cs="Courier New" w:eastAsia="Courier New" w:hAnsi="Courier New"/>
                <w:color w:val="1A3A5C"/>
                <w:sz w:val="18"/>
                <w:szCs w:val="18"/>
              </w:rPr>
              <w:t xml:space="preserve">  "crl_update_hash":     "&lt;SHA-256 of updated certificate revocation list&gt;"</w:t>
            </w:r>
          </w:p>
          <w:p>
            <w:pPr>
              <w:spacing w:before="0" w:after="30"/>
            </w:pPr>
            <w:r>
              <w:rPr>
                <w:rFonts w:ascii="Courier New" w:cs="Courier New" w:eastAsia="Courier New" w:hAnsi="Courier New"/>
                <w:color w:val="1A3A5C"/>
                <w:sz w:val="18"/>
                <w:szCs w:val="18"/>
              </w:rPr>
              <w:t xml:space="preserve">}</w:t>
            </w:r>
          </w:p>
        </w:tc>
      </w:tr>
    </w:tbl>
    <w:p>
      <w:pPr>
        <w:pStyle w:val="Heading2"/>
        <w:spacing w:before="280" w:after="120"/>
      </w:pPr>
      <w:r>
        <w:rPr>
          <w:rFonts w:ascii="Arial" w:cs="Arial" w:eastAsia="Arial" w:hAnsi="Arial"/>
          <w:b/>
          <w:bCs/>
          <w:color w:val="1A3A5C"/>
          <w:sz w:val="28"/>
          <w:szCs w:val="28"/>
        </w:rPr>
        <w:t xml:space="preserve">11.3 Propagation Methods</w:t>
      </w:r>
    </w:p>
    <w:p>
      <w:pPr>
        <w:pStyle w:val="ListParagraph"/>
        <w:numPr>
          <w:ilvl w:val="0"/>
          <w:numId w:val="2"/>
        </w:numPr>
        <w:spacing w:before="60" w:after="60"/>
      </w:pPr>
      <w:r>
        <w:rPr>
          <w:rFonts w:ascii="Arial" w:cs="Arial" w:eastAsia="Arial" w:hAnsi="Arial"/>
          <w:color w:val="000000"/>
          <w:sz w:val="22"/>
          <w:szCs w:val="22"/>
        </w:rPr>
        <w:t xml:space="preserve">PUSH — issuing authority directly notifies all known relying parties via their registered notification endpoint. Relying parties MUST implement a revocation notification endpoint if they cache portable proofs.</w:t>
      </w:r>
    </w:p>
    <w:p>
      <w:pPr>
        <w:pStyle w:val="ListParagraph"/>
        <w:numPr>
          <w:ilvl w:val="0"/>
          <w:numId w:val="2"/>
        </w:numPr>
        <w:spacing w:before="60" w:after="60"/>
      </w:pPr>
      <w:r>
        <w:rPr>
          <w:rFonts w:ascii="Arial" w:cs="Arial" w:eastAsia="Arial" w:hAnsi="Arial"/>
          <w:color w:val="000000"/>
          <w:sz w:val="22"/>
          <w:szCs w:val="22"/>
        </w:rPr>
        <w:t xml:space="preserve">PUBLISH — issuing authority updates a publicly accessible Certificate Revocation List (CRL) identified by a well-known URL. The CRL is a signed JSON document listing revoked actor DIDs and revocation timestamps.</w:t>
      </w:r>
    </w:p>
    <w:p>
      <w:pPr>
        <w:pStyle w:val="ListParagraph"/>
        <w:numPr>
          <w:ilvl w:val="0"/>
          <w:numId w:val="2"/>
        </w:numPr>
        <w:spacing w:before="60" w:after="60"/>
      </w:pPr>
      <w:r>
        <w:rPr>
          <w:rFonts w:ascii="Arial" w:cs="Arial" w:eastAsia="Arial" w:hAnsi="Arial"/>
          <w:color w:val="000000"/>
          <w:sz w:val="22"/>
          <w:szCs w:val="22"/>
        </w:rPr>
        <w:t xml:space="preserve">BOTH — MUST be used for actors operating in life-safety sectors (aviation, medical, nuclear, defence).</w:t>
      </w:r>
    </w:p>
    <w:p>
      <w:pPr>
        <w:pStyle w:val="Heading2"/>
        <w:spacing w:before="280" w:after="120"/>
      </w:pPr>
      <w:r>
        <w:rPr>
          <w:rFonts w:ascii="Arial" w:cs="Arial" w:eastAsia="Arial" w:hAnsi="Arial"/>
          <w:b/>
          <w:bCs/>
          <w:color w:val="1A3A5C"/>
          <w:sz w:val="28"/>
          <w:szCs w:val="28"/>
        </w:rPr>
        <w:t xml:space="preserve">11.4 Relying Party Obligations</w:t>
      </w:r>
    </w:p>
    <w:p>
      <w:pPr>
        <w:spacing w:before="120" w:after="120"/>
        <w:jc w:val="left"/>
      </w:pPr>
      <w:r>
        <w:rPr>
          <w:rFonts w:ascii="Arial" w:cs="Arial" w:eastAsia="Arial" w:hAnsi="Arial"/>
          <w:b w:val="false"/>
          <w:bCs w:val="false"/>
          <w:i w:val="false"/>
          <w:iCs w:val="false"/>
          <w:color w:val="000000"/>
          <w:sz w:val="22"/>
          <w:szCs w:val="22"/>
        </w:rPr>
        <w:t xml:space="preserve">Any party caching a UCCO portable proof for longer than 24 hours MUST:</w:t>
      </w:r>
    </w:p>
    <w:p>
      <w:pPr>
        <w:pStyle w:val="ListParagraph"/>
        <w:numPr>
          <w:ilvl w:val="0"/>
          <w:numId w:val="3"/>
        </w:numPr>
        <w:spacing w:before="60" w:after="60"/>
      </w:pPr>
      <w:r>
        <w:rPr>
          <w:rFonts w:ascii="Arial" w:cs="Arial" w:eastAsia="Arial" w:hAnsi="Arial"/>
          <w:color w:val="000000"/>
          <w:sz w:val="22"/>
          <w:szCs w:val="22"/>
        </w:rPr>
        <w:t xml:space="preserve">Register a revocation notification endpoint with the issuing authority at the time of first verification</w:t>
      </w:r>
    </w:p>
    <w:p>
      <w:pPr>
        <w:pStyle w:val="ListParagraph"/>
        <w:numPr>
          <w:ilvl w:val="0"/>
          <w:numId w:val="3"/>
        </w:numPr>
        <w:spacing w:before="60" w:after="60"/>
      </w:pPr>
      <w:r>
        <w:rPr>
          <w:rFonts w:ascii="Arial" w:cs="Arial" w:eastAsia="Arial" w:hAnsi="Arial"/>
          <w:color w:val="000000"/>
          <w:sz w:val="22"/>
          <w:szCs w:val="22"/>
        </w:rPr>
        <w:t xml:space="preserve">Check the issuing authority's CRL at intervals not exceeding 24 hours</w:t>
      </w:r>
    </w:p>
    <w:p>
      <w:pPr>
        <w:pStyle w:val="ListParagraph"/>
        <w:numPr>
          <w:ilvl w:val="0"/>
          <w:numId w:val="3"/>
        </w:numPr>
        <w:spacing w:before="60" w:after="60"/>
      </w:pPr>
      <w:r>
        <w:rPr>
          <w:rFonts w:ascii="Arial" w:cs="Arial" w:eastAsia="Arial" w:hAnsi="Arial"/>
          <w:color w:val="000000"/>
          <w:sz w:val="22"/>
          <w:szCs w:val="22"/>
        </w:rPr>
        <w:t xml:space="preserve">Immediately invalidate any cached proof upon receipt of a revocation notification or upon CRL match</w:t>
      </w:r>
    </w:p>
    <w:p>
      <w:pPr>
        <w:pStyle w:val="ListParagraph"/>
        <w:numPr>
          <w:ilvl w:val="0"/>
          <w:numId w:val="3"/>
        </w:numPr>
        <w:spacing w:before="60" w:after="60"/>
      </w:pPr>
      <w:r>
        <w:rPr>
          <w:rFonts w:ascii="Arial" w:cs="Arial" w:eastAsia="Arial" w:hAnsi="Arial"/>
          <w:color w:val="000000"/>
          <w:sz w:val="22"/>
          <w:szCs w:val="22"/>
        </w:rPr>
        <w:t xml:space="preserve">Log the revocation check as a chain_accessed event on their own chain</w:t>
      </w:r>
    </w:p>
    <w:p>
      <w:pPr>
        <w:spacing w:before="120" w:after="120"/>
        <w:jc w:val="left"/>
      </w:pPr>
      <w:r>
        <w:rPr>
          <w:rFonts w:ascii="Arial" w:cs="Arial" w:eastAsia="Arial" w:hAnsi="Arial"/>
          <w:b w:val="false"/>
          <w:bCs w:val="false"/>
          <w:i w:val="false"/>
          <w:iCs w:val="false"/>
          <w:color w:val="000000"/>
          <w:sz w:val="22"/>
          <w:szCs w:val="22"/>
        </w:rPr>
        <w:t xml:space="preserve">For life-safety sectors, the CRL check interval MUST NOT exceed 1 hour. Implementations SHOULD use real-time push notification in these contexts.</w:t>
      </w:r>
    </w:p>
    <w:p>
      <w:pPr>
        <w:pStyle w:val="Heading2"/>
        <w:spacing w:before="280" w:after="120"/>
      </w:pPr>
      <w:r>
        <w:rPr>
          <w:rFonts w:ascii="Arial" w:cs="Arial" w:eastAsia="Arial" w:hAnsi="Arial"/>
          <w:b/>
          <w:bCs/>
          <w:color w:val="1A3A5C"/>
          <w:sz w:val="28"/>
          <w:szCs w:val="28"/>
        </w:rPr>
        <w:t xml:space="preserve">11.5 DFA Revocation</w:t>
      </w:r>
    </w:p>
    <w:p>
      <w:pPr>
        <w:spacing w:before="120" w:after="120"/>
        <w:jc w:val="left"/>
      </w:pPr>
      <w:r>
        <w:rPr>
          <w:rFonts w:ascii="Arial" w:cs="Arial" w:eastAsia="Arial" w:hAnsi="Arial"/>
          <w:b w:val="false"/>
          <w:bCs w:val="false"/>
          <w:i w:val="false"/>
          <w:iCs w:val="false"/>
          <w:color w:val="000000"/>
          <w:sz w:val="22"/>
          <w:szCs w:val="22"/>
        </w:rPr>
        <w:t xml:space="preserve">If a supervisor is revoked (L5), all DFA policies signed by that supervisor are immediately invalidated — no grace period. All dependent non-human actors receive a supervisor_grace_period_active event with a 0-hour grace period, effectively immediate suspension. A revocation_propagation_initiated event is written for each dependent actor.</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12. Conformance</w:t>
      </w:r>
    </w:p>
    <w:p>
      <w:pPr>
        <w:pStyle w:val="Heading2"/>
        <w:spacing w:before="280" w:after="120"/>
      </w:pPr>
      <w:r>
        <w:rPr>
          <w:rFonts w:ascii="Arial" w:cs="Arial" w:eastAsia="Arial" w:hAnsi="Arial"/>
          <w:b/>
          <w:bCs/>
          <w:color w:val="1A3A5C"/>
          <w:sz w:val="28"/>
          <w:szCs w:val="28"/>
        </w:rPr>
        <w:t xml:space="preserve">12.1 Conformance Levels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4560"/>
      </w:tblGrid>
      <w:tr>
        <w:trPr>
          <w:tblHeader/>
        </w:trPr>
        <w:tc>
          <w:tcPr>
            <w:tcW w:type="dxa" w:w="18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Level</w:t>
            </w:r>
          </w:p>
        </w:tc>
        <w:tc>
          <w:tcPr>
            <w:tcW w:type="dxa" w:w="3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Scope</w:t>
            </w:r>
          </w:p>
        </w:tc>
        <w:tc>
          <w:tcPr>
            <w:tcW w:type="dxa" w:w="45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Mandatory Sections</w:t>
            </w:r>
          </w:p>
        </w:tc>
      </w:tr>
      <w:tr>
        <w:tc>
          <w:tcPr>
            <w:tcW w:type="dxa" w:w="18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2"/>
                <w:szCs w:val="22"/>
              </w:rPr>
              <w:t xml:space="preserve">UCCO-C1</w:t>
            </w:r>
          </w:p>
        </w:tc>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Human actor chains only</w:t>
            </w:r>
          </w:p>
        </w:tc>
        <w:tc>
          <w:tcPr>
            <w:tcW w:type="dxa" w:w="45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3, 4 (HUMAN), 5.1, 6, 7.1–7.3, 7.5, 8.1, 11, 12</w:t>
            </w:r>
          </w:p>
        </w:tc>
      </w:tr>
      <w:tr>
        <w:tc>
          <w:tcPr>
            <w:tcW w:type="dxa" w:w="18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2"/>
                <w:szCs w:val="22"/>
              </w:rPr>
              <w:t xml:space="preserve">UCCO-C2</w:t>
            </w:r>
          </w:p>
        </w:tc>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Human and machine actor chains</w:t>
            </w:r>
          </w:p>
        </w:tc>
        <w:tc>
          <w:tcPr>
            <w:tcW w:type="dxa" w:w="45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All of C1 plus: 5.2.1–5.2.3, 8.2–8.4, 9, 10</w:t>
            </w:r>
          </w:p>
        </w:tc>
      </w:tr>
      <w:tr>
        <w:tc>
          <w:tcPr>
            <w:tcW w:type="dxa" w:w="18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2"/>
                <w:szCs w:val="22"/>
              </w:rPr>
              <w:t xml:space="preserve">UCCO-C3</w:t>
            </w:r>
          </w:p>
        </w:tc>
        <w:tc>
          <w:tcPr>
            <w:tcW w:type="dxa" w:w="3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Full conformance — all actor types including AI agents and composites</w:t>
            </w:r>
          </w:p>
        </w:tc>
        <w:tc>
          <w:tcPr>
            <w:tcW w:type="dxa" w:w="45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2"/>
                <w:szCs w:val="22"/>
              </w:rPr>
              <w:t xml:space="preserve">All sections. Mandatory for deployments where AI agents perform Tier 3 interactions.</w:t>
            </w:r>
          </w:p>
        </w:tc>
      </w:tr>
    </w:tbl>
    <w:p>
      <w:pPr>
        <w:spacing w:before="120" w:after="120"/>
      </w:pPr>
      <w:r>
        <w:t xml:space="preserve"/>
      </w:r>
    </w:p>
    <w:p>
      <w:pPr>
        <w:pStyle w:val="Heading2"/>
        <w:spacing w:before="280" w:after="120"/>
      </w:pPr>
      <w:r>
        <w:rPr>
          <w:rFonts w:ascii="Arial" w:cs="Arial" w:eastAsia="Arial" w:hAnsi="Arial"/>
          <w:b/>
          <w:bCs/>
          <w:color w:val="1A3A5C"/>
          <w:sz w:val="28"/>
          <w:szCs w:val="28"/>
        </w:rPr>
        <w:t xml:space="preserve">12.2 Mandatory Requirements — All Conformance Levels</w:t>
      </w:r>
    </w:p>
    <w:p>
      <w:pPr>
        <w:pStyle w:val="ListParagraph"/>
        <w:numPr>
          <w:ilvl w:val="0"/>
          <w:numId w:val="3"/>
        </w:numPr>
        <w:spacing w:before="60" w:after="60"/>
      </w:pPr>
      <w:r>
        <w:rPr>
          <w:rFonts w:ascii="Arial" w:cs="Arial" w:eastAsia="Arial" w:hAnsi="Arial"/>
          <w:color w:val="000000"/>
          <w:sz w:val="22"/>
          <w:szCs w:val="22"/>
        </w:rPr>
        <w:t xml:space="preserve">Implement chain event base schema without modification or omission of required fields</w:t>
      </w:r>
    </w:p>
    <w:p>
      <w:pPr>
        <w:pStyle w:val="ListParagraph"/>
        <w:numPr>
          <w:ilvl w:val="0"/>
          <w:numId w:val="3"/>
        </w:numPr>
        <w:spacing w:before="60" w:after="60"/>
      </w:pPr>
      <w:r>
        <w:rPr>
          <w:rFonts w:ascii="Arial" w:cs="Arial" w:eastAsia="Arial" w:hAnsi="Arial"/>
          <w:color w:val="000000"/>
          <w:sz w:val="22"/>
          <w:szCs w:val="22"/>
        </w:rPr>
        <w:t xml:space="preserve">Use SHA-256 for all hash operations specified in this standard</w:t>
      </w:r>
    </w:p>
    <w:p>
      <w:pPr>
        <w:pStyle w:val="ListParagraph"/>
        <w:numPr>
          <w:ilvl w:val="0"/>
          <w:numId w:val="3"/>
        </w:numPr>
        <w:spacing w:before="60" w:after="60"/>
      </w:pPr>
      <w:r>
        <w:rPr>
          <w:rFonts w:ascii="Arial" w:cs="Arial" w:eastAsia="Arial" w:hAnsi="Arial"/>
          <w:color w:val="000000"/>
          <w:sz w:val="22"/>
          <w:szCs w:val="22"/>
        </w:rPr>
        <w:t xml:space="preserve">Store all timestamps in UTC using RFC 3339 format — never local time</w:t>
      </w:r>
    </w:p>
    <w:p>
      <w:pPr>
        <w:pStyle w:val="ListParagraph"/>
        <w:numPr>
          <w:ilvl w:val="0"/>
          <w:numId w:val="3"/>
        </w:numPr>
        <w:spacing w:before="60" w:after="60"/>
      </w:pPr>
      <w:r>
        <w:rPr>
          <w:rFonts w:ascii="Arial" w:cs="Arial" w:eastAsia="Arial" w:hAnsi="Arial"/>
          <w:color w:val="000000"/>
          <w:sz w:val="22"/>
          <w:szCs w:val="22"/>
        </w:rPr>
        <w:t xml:space="preserve">Maintain dual-write architecture with vault as authoritative source of truth</w:t>
      </w:r>
    </w:p>
    <w:p>
      <w:pPr>
        <w:pStyle w:val="ListParagraph"/>
        <w:numPr>
          <w:ilvl w:val="0"/>
          <w:numId w:val="3"/>
        </w:numPr>
        <w:spacing w:before="60" w:after="60"/>
      </w:pPr>
      <w:r>
        <w:rPr>
          <w:rFonts w:ascii="Arial" w:cs="Arial" w:eastAsia="Arial" w:hAnsi="Arial"/>
          <w:color w:val="000000"/>
          <w:sz w:val="22"/>
          <w:szCs w:val="22"/>
        </w:rPr>
        <w:t xml:space="preserve">Support chain verification by any party holding the issuing authority's public key, without calling back to the issuing authority</w:t>
      </w:r>
    </w:p>
    <w:p>
      <w:pPr>
        <w:pStyle w:val="ListParagraph"/>
        <w:numPr>
          <w:ilvl w:val="0"/>
          <w:numId w:val="3"/>
        </w:numPr>
        <w:spacing w:before="60" w:after="60"/>
      </w:pPr>
      <w:r>
        <w:rPr>
          <w:rFonts w:ascii="Arial" w:cs="Arial" w:eastAsia="Arial" w:hAnsi="Arial"/>
          <w:color w:val="000000"/>
          <w:sz w:val="22"/>
          <w:szCs w:val="22"/>
        </w:rPr>
        <w:t xml:space="preserve">Implement the three interaction tiers with correct chain recording consequences</w:t>
      </w:r>
    </w:p>
    <w:p>
      <w:pPr>
        <w:pStyle w:val="ListParagraph"/>
        <w:numPr>
          <w:ilvl w:val="0"/>
          <w:numId w:val="3"/>
        </w:numPr>
        <w:spacing w:before="60" w:after="60"/>
      </w:pPr>
      <w:r>
        <w:rPr>
          <w:rFonts w:ascii="Arial" w:cs="Arial" w:eastAsia="Arial" w:hAnsi="Arial"/>
          <w:color w:val="000000"/>
          <w:sz w:val="22"/>
          <w:szCs w:val="22"/>
        </w:rPr>
        <w:t xml:space="preserve">Never modify or delete a committed chain event</w:t>
      </w:r>
    </w:p>
    <w:p>
      <w:pPr>
        <w:pStyle w:val="ListParagraph"/>
        <w:numPr>
          <w:ilvl w:val="0"/>
          <w:numId w:val="3"/>
        </w:numPr>
        <w:spacing w:before="60" w:after="60"/>
      </w:pPr>
      <w:r>
        <w:rPr>
          <w:rFonts w:ascii="Arial" w:cs="Arial" w:eastAsia="Arial" w:hAnsi="Arial"/>
          <w:color w:val="000000"/>
          <w:sz w:val="22"/>
          <w:szCs w:val="22"/>
        </w:rPr>
        <w:t xml:space="preserve">Implement revocation propagation and CRL publication at the issuing authority level</w:t>
      </w:r>
    </w:p>
    <w:p>
      <w:pPr>
        <w:pStyle w:val="Heading2"/>
        <w:spacing w:before="280" w:after="120"/>
      </w:pPr>
      <w:r>
        <w:rPr>
          <w:rFonts w:ascii="Arial" w:cs="Arial" w:eastAsia="Arial" w:hAnsi="Arial"/>
          <w:b/>
          <w:bCs/>
          <w:color w:val="1A3A5C"/>
          <w:sz w:val="28"/>
          <w:szCs w:val="28"/>
        </w:rPr>
        <w:t xml:space="preserve">12.3 Prohibited Practices</w:t>
      </w:r>
    </w:p>
    <w:p>
      <w:pPr>
        <w:pStyle w:val="ListParagraph"/>
        <w:numPr>
          <w:ilvl w:val="0"/>
          <w:numId w:val="3"/>
        </w:numPr>
        <w:spacing w:before="60" w:after="60"/>
      </w:pPr>
      <w:r>
        <w:rPr>
          <w:rFonts w:ascii="Arial" w:cs="Arial" w:eastAsia="Arial" w:hAnsi="Arial"/>
          <w:color w:val="000000"/>
          <w:sz w:val="22"/>
          <w:szCs w:val="22"/>
        </w:rPr>
        <w:t xml:space="preserve">Storing biometric data in the chain — only hashes and verification results</w:t>
      </w:r>
    </w:p>
    <w:p>
      <w:pPr>
        <w:pStyle w:val="ListParagraph"/>
        <w:numPr>
          <w:ilvl w:val="0"/>
          <w:numId w:val="3"/>
        </w:numPr>
        <w:spacing w:before="60" w:after="60"/>
      </w:pPr>
      <w:r>
        <w:rPr>
          <w:rFonts w:ascii="Arial" w:cs="Arial" w:eastAsia="Arial" w:hAnsi="Arial"/>
          <w:color w:val="000000"/>
          <w:sz w:val="22"/>
          <w:szCs w:val="22"/>
        </w:rPr>
        <w:t xml:space="preserve">Modifying or deleting committed chain events</w:t>
      </w:r>
    </w:p>
    <w:p>
      <w:pPr>
        <w:pStyle w:val="ListParagraph"/>
        <w:numPr>
          <w:ilvl w:val="0"/>
          <w:numId w:val="3"/>
        </w:numPr>
        <w:spacing w:before="60" w:after="60"/>
      </w:pPr>
      <w:r>
        <w:rPr>
          <w:rFonts w:ascii="Arial" w:cs="Arial" w:eastAsia="Arial" w:hAnsi="Arial"/>
          <w:color w:val="000000"/>
          <w:sz w:val="22"/>
          <w:szCs w:val="22"/>
        </w:rPr>
        <w:t xml:space="preserve">Allowing non-human actors to perform Tier 3 interactions without a valid supervision chain reference</w:t>
      </w:r>
    </w:p>
    <w:p>
      <w:pPr>
        <w:pStyle w:val="ListParagraph"/>
        <w:numPr>
          <w:ilvl w:val="0"/>
          <w:numId w:val="3"/>
        </w:numPr>
        <w:spacing w:before="60" w:after="60"/>
      </w:pPr>
      <w:r>
        <w:rPr>
          <w:rFonts w:ascii="Arial" w:cs="Arial" w:eastAsia="Arial" w:hAnsi="Arial"/>
          <w:color w:val="000000"/>
          <w:sz w:val="22"/>
          <w:szCs w:val="22"/>
        </w:rPr>
        <w:t xml:space="preserve">Allowing K2 transfer without a corresponding chain event</w:t>
      </w:r>
    </w:p>
    <w:p>
      <w:pPr>
        <w:pStyle w:val="ListParagraph"/>
        <w:numPr>
          <w:ilvl w:val="0"/>
          <w:numId w:val="3"/>
        </w:numPr>
        <w:spacing w:before="60" w:after="60"/>
      </w:pPr>
      <w:r>
        <w:rPr>
          <w:rFonts w:ascii="Arial" w:cs="Arial" w:eastAsia="Arial" w:hAnsi="Arial"/>
          <w:color w:val="000000"/>
          <w:sz w:val="22"/>
          <w:szCs w:val="22"/>
        </w:rPr>
        <w:t xml:space="preserve">Recording local time rather than UTC in any chain event timestamp field</w:t>
      </w:r>
    </w:p>
    <w:p>
      <w:pPr>
        <w:pStyle w:val="ListParagraph"/>
        <w:numPr>
          <w:ilvl w:val="0"/>
          <w:numId w:val="3"/>
        </w:numPr>
        <w:spacing w:before="60" w:after="60"/>
      </w:pPr>
      <w:r>
        <w:rPr>
          <w:rFonts w:ascii="Arial" w:cs="Arial" w:eastAsia="Arial" w:hAnsi="Arial"/>
          <w:color w:val="000000"/>
          <w:sz w:val="22"/>
          <w:szCs w:val="22"/>
        </w:rPr>
        <w:t xml:space="preserve">Permitting Tier 3 interactions from an actor whose envelope has failed integrity check</w:t>
      </w:r>
    </w:p>
    <w:p>
      <w:pPr>
        <w:pStyle w:val="ListParagraph"/>
        <w:numPr>
          <w:ilvl w:val="0"/>
          <w:numId w:val="3"/>
        </w:numPr>
        <w:spacing w:before="60" w:after="60"/>
      </w:pPr>
      <w:r>
        <w:rPr>
          <w:rFonts w:ascii="Arial" w:cs="Arial" w:eastAsia="Arial" w:hAnsi="Arial"/>
          <w:color w:val="000000"/>
          <w:sz w:val="22"/>
          <w:szCs w:val="22"/>
        </w:rPr>
        <w:t xml:space="preserve">Allowing self-restoration of an actor following attestation_failure</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Annex A: Regulatory Alignment (Informative)</w:t>
      </w:r>
    </w:p>
    <w:p>
      <w:pPr>
        <w:spacing w:before="120" w:after="120"/>
        <w:jc w:val="left"/>
      </w:pPr>
      <w:r>
        <w:rPr>
          <w:rFonts w:ascii="Arial" w:cs="Arial" w:eastAsia="Arial" w:hAnsi="Arial"/>
          <w:b w:val="false"/>
          <w:bCs w:val="false"/>
          <w:i w:val="false"/>
          <w:iCs w:val="false"/>
          <w:color w:val="000000"/>
          <w:sz w:val="22"/>
          <w:szCs w:val="22"/>
        </w:rPr>
        <w:t xml:space="preserve">Conformance to this standard does not constitute legal compliance. Operators must independently verify applicable law in their jurisdiction.</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5160"/>
      </w:tblGrid>
      <w:tr>
        <w:trPr>
          <w:tblHeader/>
        </w:trPr>
        <w:tc>
          <w:tcPr>
            <w:tcW w:type="dxa" w:w="24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Regulation / Standard</w:t>
            </w:r>
          </w:p>
        </w:tc>
        <w:tc>
          <w:tcPr>
            <w:tcW w:type="dxa" w:w="18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Jurisdiction</w:t>
            </w:r>
          </w:p>
        </w:tc>
        <w:tc>
          <w:tcPr>
            <w:tcW w:type="dxa" w:w="51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UCCO Alignment</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GDPR Articles 9, 17</w:t>
            </w:r>
          </w:p>
        </w:tc>
        <w:tc>
          <w:tcPr>
            <w:tcW w:type="dxa" w:w="18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EU / EEA</w:t>
            </w:r>
          </w:p>
        </w:tc>
        <w:tc>
          <w:tcPr>
            <w:tcW w:type="dxa" w:w="5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K1 destruction constitutes erasure. evidence_destroyed event is the legal erasure record. Data residency enforced per-actor at upload time.</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Privacy Act 1988 APPs 3, 6, 11</w:t>
            </w:r>
          </w:p>
        </w:tc>
        <w:tc>
          <w:tcPr>
            <w:tcW w:type="dxa" w:w="18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Australia</w:t>
            </w:r>
          </w:p>
        </w:tc>
        <w:tc>
          <w:tcPr>
            <w:tcW w:type="dxa" w:w="5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Purpose declaration required on evidence access. Evidence retained only for stated compliance purpose.</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Illinois BIPA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US (Illinois)</w:t>
            </w:r>
          </w:p>
        </w:tc>
        <w:tc>
          <w:tcPr>
            <w:tcW w:type="dxa" w:w="5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Biometric data encrypted client-side before transmission. Never stored in plaintext on issuing authority servers.</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HIPAA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US (Healthcare)</w:t>
            </w:r>
          </w:p>
        </w:tc>
        <w:tc>
          <w:tcPr>
            <w:tcW w:type="dxa" w:w="5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Chain provides audit trail for PHI access. Evidence segregation supports minimum necessary principle.</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ISO 10218 / RIA R15.06</w:t>
            </w:r>
          </w:p>
        </w:tc>
        <w:tc>
          <w:tcPr>
            <w:tcW w:type="dxa" w:w="18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Intl / US Robotics</w:t>
            </w:r>
          </w:p>
        </w:tc>
        <w:tc>
          <w:tcPr>
            <w:tcW w:type="dxa" w:w="5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Supervision chain requirement maps to human oversight mandate for collaborative robots.</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IEC 62443-4-2</w:t>
            </w:r>
          </w:p>
        </w:tc>
        <w:tc>
          <w:tcPr>
            <w:tcW w:type="dxa" w:w="18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Intl Industrial</w:t>
            </w:r>
          </w:p>
        </w:tc>
        <w:tc>
          <w:tcPr>
            <w:tcW w:type="dxa" w:w="5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Machine identity primitives and attestation heartbeat address asset identity and integrity requirements.</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ISO/TS 15066</w:t>
            </w:r>
          </w:p>
        </w:tc>
        <w:tc>
          <w:tcPr>
            <w:tcW w:type="dxa" w:w="18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Intl Collab. Robots</w:t>
            </w:r>
          </w:p>
        </w:tc>
        <w:tc>
          <w:tcPr>
            <w:tcW w:type="dxa" w:w="5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Capability envelope hard limits directly enforceable as operating parameter boundaries for human-robot collaboration.</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ISO 10218-2:2023</w:t>
            </w:r>
          </w:p>
        </w:tc>
        <w:tc>
          <w:tcPr>
            <w:tcW w:type="dxa" w:w="18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Intl Robotics Safety</w:t>
            </w:r>
          </w:p>
        </w:tc>
        <w:tc>
          <w:tcPr>
            <w:tcW w:type="dxa" w:w="5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Supervision chain and capability_request protocol address safety-rated monitored stop requirements.</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FAA Part 107</w:t>
            </w:r>
          </w:p>
        </w:tc>
        <w:tc>
          <w:tcPr>
            <w:tcW w:type="dxa" w:w="18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US (Drone)</w:t>
            </w:r>
          </w:p>
        </w:tc>
        <w:tc>
          <w:tcPr>
            <w:tcW w:type="dxa" w:w="5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Non-human actor chain with DFA supervision addresses remote pilot-in-command accountability for UAS fleets.</w:t>
            </w:r>
          </w:p>
        </w:tc>
      </w:tr>
      <w:tr>
        <w:tc>
          <w:tcPr>
            <w:tcW w:type="dxa" w:w="24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EU AI Act (2024)</w:t>
            </w:r>
          </w:p>
        </w:tc>
        <w:tc>
          <w:tcPr>
            <w:tcW w:type="dxa" w:w="18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EU</w:t>
            </w:r>
          </w:p>
        </w:tc>
        <w:tc>
          <w:tcPr>
            <w:tcW w:type="dxa" w:w="5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Context State Hash and supervision chain requirements address high-risk AI system accountability obligations.</w:t>
            </w:r>
          </w:p>
        </w:tc>
      </w:tr>
    </w:tbl>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Annex B: High-Volume Non-Human Actor Architecture (Informative)</w:t>
      </w:r>
    </w:p>
    <w:p>
      <w:pPr>
        <w:pStyle w:val="Heading2"/>
        <w:spacing w:before="280" w:after="120"/>
      </w:pPr>
      <w:r>
        <w:rPr>
          <w:rFonts w:ascii="Arial" w:cs="Arial" w:eastAsia="Arial" w:hAnsi="Arial"/>
          <w:b/>
          <w:bCs/>
          <w:color w:val="1A3A5C"/>
          <w:sz w:val="28"/>
          <w:szCs w:val="28"/>
        </w:rPr>
        <w:t xml:space="preserve">B.1 Event Volume Architecture</w:t>
      </w:r>
    </w:p>
    <w:p>
      <w:pPr>
        <w:spacing w:before="120" w:after="120"/>
        <w:jc w:val="left"/>
      </w:pPr>
      <w:r>
        <w:rPr>
          <w:rFonts w:ascii="Arial" w:cs="Arial" w:eastAsia="Arial" w:hAnsi="Arial"/>
          <w:b w:val="false"/>
          <w:bCs w:val="false"/>
          <w:i w:val="false"/>
          <w:iCs w:val="false"/>
          <w:color w:val="000000"/>
          <w:sz w:val="22"/>
          <w:szCs w:val="22"/>
        </w:rPr>
        <w:t xml:space="preserve">Non-human actors generate chain events at orders of magnitude higher volume than human actors. A surgical robot may generate thousands of compliance-relevant events per operation. A nuclear monitoring array may generate millions per day. Implementers MUST distinguish between:</w:t>
      </w:r>
    </w:p>
    <w:p>
      <w:pPr>
        <w:pStyle w:val="ListParagraph"/>
        <w:numPr>
          <w:ilvl w:val="0"/>
          <w:numId w:val="2"/>
        </w:numPr>
        <w:spacing w:before="60" w:after="60"/>
      </w:pPr>
      <w:r>
        <w:rPr>
          <w:rFonts w:ascii="Arial" w:cs="Arial" w:eastAsia="Arial" w:hAnsi="Arial"/>
          <w:color w:val="000000"/>
          <w:sz w:val="22"/>
          <w:szCs w:val="22"/>
        </w:rPr>
        <w:t xml:space="preserve">Telemetry stream — high frequency, queryable, retention-scoped. NOT the chain.</w:t>
      </w:r>
    </w:p>
    <w:p>
      <w:pPr>
        <w:pStyle w:val="ListParagraph"/>
        <w:numPr>
          <w:ilvl w:val="0"/>
          <w:numId w:val="2"/>
        </w:numPr>
        <w:spacing w:before="60" w:after="60"/>
      </w:pPr>
      <w:r>
        <w:rPr>
          <w:rFonts w:ascii="Arial" w:cs="Arial" w:eastAsia="Arial" w:hAnsi="Arial"/>
          <w:color w:val="000000"/>
          <w:sz w:val="22"/>
          <w:szCs w:val="22"/>
        </w:rPr>
        <w:t xml:space="preserve">Chain events — compliance-relevant state transitions only. Low frequency relative to telemetry. Immutable. Permanent.</w:t>
      </w:r>
    </w:p>
    <w:p>
      <w:pPr>
        <w:pStyle w:val="ListParagraph"/>
        <w:numPr>
          <w:ilvl w:val="0"/>
          <w:numId w:val="2"/>
        </w:numPr>
        <w:spacing w:before="60" w:after="60"/>
      </w:pPr>
      <w:r>
        <w:rPr>
          <w:rFonts w:ascii="Arial" w:cs="Arial" w:eastAsia="Arial" w:hAnsi="Arial"/>
          <w:color w:val="000000"/>
          <w:sz w:val="22"/>
          <w:szCs w:val="22"/>
        </w:rPr>
        <w:t xml:space="preserve">Attestation heartbeat — continuous cryptographic proof. Separate from both telemetry and chain events.</w:t>
      </w:r>
    </w:p>
    <w:p>
      <w:pPr>
        <w:pStyle w:val="Heading2"/>
        <w:spacing w:before="280" w:after="120"/>
      </w:pPr>
      <w:r>
        <w:rPr>
          <w:rFonts w:ascii="Arial" w:cs="Arial" w:eastAsia="Arial" w:hAnsi="Arial"/>
          <w:b/>
          <w:bCs/>
          <w:color w:val="1A3A5C"/>
          <w:sz w:val="28"/>
          <w:szCs w:val="28"/>
        </w:rPr>
        <w:t xml:space="preserve">B.2 Ephemeral Rollup Implementation</w:t>
      </w:r>
    </w:p>
    <w:p>
      <w:pPr>
        <w:spacing w:before="120" w:after="120"/>
        <w:jc w:val="left"/>
      </w:pPr>
      <w:r>
        <w:rPr>
          <w:rFonts w:ascii="Arial" w:cs="Arial" w:eastAsia="Arial" w:hAnsi="Arial"/>
          <w:b w:val="false"/>
          <w:bCs w:val="false"/>
          <w:i w:val="false"/>
          <w:iCs w:val="false"/>
          <w:color w:val="000000"/>
          <w:sz w:val="22"/>
          <w:szCs w:val="22"/>
        </w:rPr>
        <w:t xml:space="preserve">For high-volume eligible events, use Merkle Tree Accumulators:</w:t>
      </w:r>
    </w:p>
    <w:p>
      <w:pPr>
        <w:pStyle w:val="ListParagraph"/>
        <w:numPr>
          <w:ilvl w:val="0"/>
          <w:numId w:val="3"/>
        </w:numPr>
        <w:spacing w:before="60" w:after="60"/>
      </w:pPr>
      <w:r>
        <w:rPr>
          <w:rFonts w:ascii="Arial" w:cs="Arial" w:eastAsia="Arial" w:hAnsi="Arial"/>
          <w:color w:val="000000"/>
          <w:sz w:val="22"/>
          <w:szCs w:val="22"/>
        </w:rPr>
        <w:t xml:space="preserve">Eligible events are accumulated locally or in a message broker (Kafka, AWS SQS, or equivalent) throughout the batch period</w:t>
      </w:r>
    </w:p>
    <w:p>
      <w:pPr>
        <w:pStyle w:val="ListParagraph"/>
        <w:numPr>
          <w:ilvl w:val="0"/>
          <w:numId w:val="3"/>
        </w:numPr>
        <w:spacing w:before="60" w:after="60"/>
      </w:pPr>
      <w:r>
        <w:rPr>
          <w:rFonts w:ascii="Arial" w:cs="Arial" w:eastAsia="Arial" w:hAnsi="Arial"/>
          <w:color w:val="000000"/>
          <w:sz w:val="22"/>
          <w:szCs w:val="22"/>
        </w:rPr>
        <w:t xml:space="preserve">At the close of the batch period, a Merkle tree is constructed over the ordered set of events</w:t>
      </w:r>
    </w:p>
    <w:p>
      <w:pPr>
        <w:pStyle w:val="ListParagraph"/>
        <w:numPr>
          <w:ilvl w:val="0"/>
          <w:numId w:val="3"/>
        </w:numPr>
        <w:spacing w:before="60" w:after="60"/>
      </w:pPr>
      <w:r>
        <w:rPr>
          <w:rFonts w:ascii="Arial" w:cs="Arial" w:eastAsia="Arial" w:hAnsi="Arial"/>
          <w:color w:val="000000"/>
          <w:sz w:val="22"/>
          <w:szCs w:val="22"/>
        </w:rPr>
        <w:t xml:space="preserve">The Merkle root is written to the immutable vault as an ephemeral_rollup_commit event</w:t>
      </w:r>
    </w:p>
    <w:p>
      <w:pPr>
        <w:pStyle w:val="ListParagraph"/>
        <w:numPr>
          <w:ilvl w:val="0"/>
          <w:numId w:val="3"/>
        </w:numPr>
        <w:spacing w:before="60" w:after="60"/>
      </w:pPr>
      <w:r>
        <w:rPr>
          <w:rFonts w:ascii="Arial" w:cs="Arial" w:eastAsia="Arial" w:hAnsi="Arial"/>
          <w:color w:val="000000"/>
          <w:sz w:val="22"/>
          <w:szCs w:val="22"/>
        </w:rPr>
        <w:t xml:space="preserve">Individual events are retained in the query projection and are available for full audit on demand — the Merkle proof allows any individual event to be verified against the vault root</w:t>
      </w:r>
    </w:p>
    <w:p>
      <w:pPr>
        <w:spacing w:before="120" w:after="120"/>
        <w:jc w:val="left"/>
      </w:pPr>
      <w:r>
        <w:rPr>
          <w:rFonts w:ascii="Arial" w:cs="Arial" w:eastAsia="Arial" w:hAnsi="Arial"/>
          <w:b w:val="false"/>
          <w:bCs w:val="false"/>
          <w:i w:val="false"/>
          <w:iCs w:val="false"/>
          <w:color w:val="000000"/>
          <w:sz w:val="22"/>
          <w:szCs w:val="22"/>
        </w:rPr>
        <w:t xml:space="preserve">Maximum batch size is declared in the capability envelope (ephemeral_rollup_max_batch). Default maximum: 10,000 events per rollup. Batches MUST be committed at intervals not exceeding 24 hours.</w:t>
      </w:r>
    </w:p>
    <w:p>
      <w:pPr>
        <w:pStyle w:val="Heading2"/>
        <w:spacing w:before="280" w:after="120"/>
      </w:pPr>
      <w:r>
        <w:rPr>
          <w:rFonts w:ascii="Arial" w:cs="Arial" w:eastAsia="Arial" w:hAnsi="Arial"/>
          <w:b/>
          <w:bCs/>
          <w:color w:val="1A3A5C"/>
          <w:sz w:val="28"/>
          <w:szCs w:val="28"/>
        </w:rPr>
        <w:t xml:space="preserve">B.3 Smart Contract Oracle Integration</w:t>
      </w:r>
    </w:p>
    <w:p>
      <w:pPr>
        <w:spacing w:before="120" w:after="120"/>
        <w:jc w:val="left"/>
      </w:pPr>
      <w:r>
        <w:rPr>
          <w:rFonts w:ascii="Arial" w:cs="Arial" w:eastAsia="Arial" w:hAnsi="Arial"/>
          <w:b w:val="false"/>
          <w:bCs w:val="false"/>
          <w:i w:val="false"/>
          <w:iCs w:val="false"/>
          <w:color w:val="000000"/>
          <w:sz w:val="22"/>
          <w:szCs w:val="22"/>
        </w:rPr>
        <w:t xml:space="preserve">UCCO Tier 3 events (capability_used, capability_authorised) are designed to serve as oracles for smart contract triggers, enabling:</w:t>
      </w:r>
    </w:p>
    <w:p>
      <w:pPr>
        <w:pStyle w:val="ListParagraph"/>
        <w:numPr>
          <w:ilvl w:val="0"/>
          <w:numId w:val="2"/>
        </w:numPr>
        <w:spacing w:before="60" w:after="60"/>
      </w:pPr>
      <w:r>
        <w:rPr>
          <w:rFonts w:ascii="Arial" w:cs="Arial" w:eastAsia="Arial" w:hAnsi="Arial"/>
          <w:color w:val="000000"/>
          <w:sz w:val="22"/>
          <w:szCs w:val="22"/>
        </w:rPr>
        <w:t xml:space="preserve">Automated micro-payments on verified act completion (e.g. drone delivery confirmation triggers payment)</w:t>
      </w:r>
    </w:p>
    <w:p>
      <w:pPr>
        <w:pStyle w:val="ListParagraph"/>
        <w:numPr>
          <w:ilvl w:val="0"/>
          <w:numId w:val="2"/>
        </w:numPr>
        <w:spacing w:before="60" w:after="60"/>
      </w:pPr>
      <w:r>
        <w:rPr>
          <w:rFonts w:ascii="Arial" w:cs="Arial" w:eastAsia="Arial" w:hAnsi="Arial"/>
          <w:color w:val="000000"/>
          <w:sz w:val="22"/>
          <w:szCs w:val="22"/>
        </w:rPr>
        <w:t xml:space="preserve">Dynamic insurance premium adjustment based on real-time capability usage patterns</w:t>
      </w:r>
    </w:p>
    <w:p>
      <w:pPr>
        <w:pStyle w:val="ListParagraph"/>
        <w:numPr>
          <w:ilvl w:val="0"/>
          <w:numId w:val="2"/>
        </w:numPr>
        <w:spacing w:before="60" w:after="60"/>
      </w:pPr>
      <w:r>
        <w:rPr>
          <w:rFonts w:ascii="Arial" w:cs="Arial" w:eastAsia="Arial" w:hAnsi="Arial"/>
          <w:color w:val="000000"/>
          <w:sz w:val="22"/>
          <w:szCs w:val="22"/>
        </w:rPr>
        <w:t xml:space="preserve">Liability transfer during machine-to-machine handoffs — the chain records exactly when responsibility transferred and to whom</w:t>
      </w:r>
    </w:p>
    <w:p>
      <w:pPr>
        <w:spacing w:before="120" w:after="120"/>
        <w:jc w:val="left"/>
      </w:pPr>
      <w:r>
        <w:rPr>
          <w:rFonts w:ascii="Arial" w:cs="Arial" w:eastAsia="Arial" w:hAnsi="Arial"/>
          <w:b w:val="false"/>
          <w:bCs w:val="false"/>
          <w:i w:val="false"/>
          <w:iCs w:val="false"/>
          <w:color w:val="000000"/>
          <w:sz w:val="22"/>
          <w:szCs w:val="22"/>
        </w:rPr>
        <w:t xml:space="preserve">The capability_used event payload contains all fields necessary to construct a deterministic oracle payload: actor DID, capability_id, timestamp_utc, scope, and event_hash. Implementations MAY expose a webhook or event stream formatted for direct smart contract consumption.</w:t>
      </w:r>
    </w:p>
    <w:p>
      <w:pPr>
        <w:pStyle w:val="Heading2"/>
        <w:spacing w:before="280" w:after="120"/>
      </w:pPr>
      <w:r>
        <w:rPr>
          <w:rFonts w:ascii="Arial" w:cs="Arial" w:eastAsia="Arial" w:hAnsi="Arial"/>
          <w:b/>
          <w:bCs/>
          <w:color w:val="1A3A5C"/>
          <w:sz w:val="28"/>
          <w:szCs w:val="28"/>
        </w:rPr>
        <w:t xml:space="preserve">B.4 K1 Key Store Upgrade Path</w:t>
      </w:r>
    </w:p>
    <w:p>
      <w:pPr>
        <w:spacing w:before="120" w:after="120"/>
        <w:jc w:val="left"/>
      </w:pPr>
      <w:r>
        <w:rPr>
          <w:rFonts w:ascii="Arial" w:cs="Arial" w:eastAsia="Arial" w:hAnsi="Arial"/>
          <w:b w:val="false"/>
          <w:bCs w:val="false"/>
          <w:i w:val="false"/>
          <w:iCs w:val="false"/>
          <w:color w:val="000000"/>
          <w:sz w:val="22"/>
          <w:szCs w:val="22"/>
        </w:rPr>
        <w:t xml:space="preserve">For initial deployments: cloud HSM services (Cloudflare Workers Secrets, AWS KMS) are adequate. For defence, aviation, and nuclear contracts: dedicated hardware HSM meeting FIPS 140-2 Level 2 minimum (Level 3 or 4 for highest-assurance contexts). Implementations MUST abstract K1 retrieval behind a K1Store interface so that the encryption code does not change when the key storage backend is upgraded.</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Annex C: Example — Autonomous Drone Delivery Fleet (Informative)</w:t>
      </w:r>
    </w:p>
    <w:p>
      <w:pPr>
        <w:spacing w:before="120" w:after="120"/>
        <w:jc w:val="left"/>
      </w:pPr>
      <w:r>
        <w:rPr>
          <w:rFonts w:ascii="Arial" w:cs="Arial" w:eastAsia="Arial" w:hAnsi="Arial"/>
          <w:b w:val="false"/>
          <w:bCs w:val="false"/>
          <w:i w:val="false"/>
          <w:iCs w:val="false"/>
          <w:color w:val="000000"/>
          <w:sz w:val="22"/>
          <w:szCs w:val="22"/>
        </w:rPr>
        <w:t xml:space="preserve">A fleet of 1,000 drones operates under one human supervisor via a DFA policy. The DFA policy encodes aggregate limits: total daily flight hours, geofence boundaries, maximum concurrent operations, and a daily budget ceiling.</w:t>
      </w:r>
    </w:p>
    <w:p>
      <w:pPr>
        <w:spacing w:before="120" w:after="120"/>
        <w:jc w:val="left"/>
      </w:pPr>
      <w:r>
        <w:rPr>
          <w:rFonts w:ascii="Arial" w:cs="Arial" w:eastAsia="Arial" w:hAnsi="Arial"/>
          <w:b w:val="false"/>
          <w:bCs w:val="false"/>
          <w:i w:val="false"/>
          <w:iCs w:val="false"/>
          <w:color w:val="000000"/>
          <w:sz w:val="22"/>
          <w:szCs w:val="22"/>
        </w:rPr>
        <w:t xml:space="preserve">Each drone has its own UCCO chain with the dfa_policy_hash in its capability envelope. At boot, each drone verifies its software image hash, checks the DFA policy is unexpired, and confirms the supervisor's chain is active at L3.</w:t>
      </w:r>
    </w:p>
    <w:p>
      <w:pPr>
        <w:spacing w:before="120" w:after="120"/>
        <w:jc w:val="left"/>
      </w:pPr>
      <w:r>
        <w:rPr>
          <w:rFonts w:ascii="Arial" w:cs="Arial" w:eastAsia="Arial" w:hAnsi="Arial"/>
          <w:b w:val="false"/>
          <w:bCs w:val="false"/>
          <w:i w:val="false"/>
          <w:iCs w:val="false"/>
          <w:color w:val="000000"/>
          <w:sz w:val="22"/>
          <w:szCs w:val="22"/>
        </w:rPr>
        <w:t xml:space="preserve">During normal operation, routine delivery completion events are eligible for ephemeral rollup. Each drone writes Tier 3 events to a local tamper-evident buffer; a daily ephemeral_rollup_commit writes a single Merkle root to the immutable vault per drone. Audit of any individual delivery event is available via the Merkle proof.</w:t>
      </w:r>
    </w:p>
    <w:p>
      <w:pPr>
        <w:spacing w:before="120" w:after="120"/>
        <w:jc w:val="left"/>
      </w:pPr>
      <w:r>
        <w:rPr>
          <w:rFonts w:ascii="Arial" w:cs="Arial" w:eastAsia="Arial" w:hAnsi="Arial"/>
          <w:b w:val="false"/>
          <w:bCs w:val="false"/>
          <w:i w:val="false"/>
          <w:iCs w:val="false"/>
          <w:color w:val="000000"/>
          <w:sz w:val="22"/>
          <w:szCs w:val="22"/>
        </w:rPr>
        <w:t xml:space="preserve">On successful delivery: the capability_used event serves as an oracle trigger for an automated smart contract micro-payment to the delivery recipient's counterparty and a dynamic insurance premium adjustment.</w:t>
      </w:r>
    </w:p>
    <w:p>
      <w:pPr>
        <w:spacing w:before="120" w:after="120"/>
        <w:jc w:val="left"/>
      </w:pPr>
      <w:r>
        <w:rPr>
          <w:rFonts w:ascii="Arial" w:cs="Arial" w:eastAsia="Arial" w:hAnsi="Arial"/>
          <w:b w:val="false"/>
          <w:bCs w:val="false"/>
          <w:i w:val="false"/>
          <w:iCs w:val="false"/>
          <w:color w:val="000000"/>
          <w:sz w:val="22"/>
          <w:szCs w:val="22"/>
        </w:rPr>
        <w:t xml:space="preserve">If an aggregate DFA limit is breached (e.g. total fleet flight hours exceed the daily limit): a dfa_limit_exceeded event is written across all affected actors. All affected drones suspend Tier 3 operations until the supervisor re-authorises via a new DFA policy signature.</w:t>
      </w:r>
    </w:p>
    <w:p>
      <w:pPr>
        <w:spacing w:before="120" w:after="120"/>
        <w:jc w:val="left"/>
      </w:pPr>
      <w:r>
        <w:rPr>
          <w:rFonts w:ascii="Arial" w:cs="Arial" w:eastAsia="Arial" w:hAnsi="Arial"/>
          <w:b w:val="false"/>
          <w:bCs w:val="false"/>
          <w:i w:val="false"/>
          <w:iCs w:val="false"/>
          <w:color w:val="000000"/>
          <w:sz w:val="22"/>
          <w:szCs w:val="22"/>
        </w:rPr>
        <w:t xml:space="preserve">If the supervisor's chain is revoked: no grace period applies. revocation_propagation_initiated events are written for all 1,000 drones simultaneously. All drones suspend Tier 3 operations immediately. The issuing authority publishes an updated CRL within 60 seconds.</w:t>
      </w:r>
    </w:p>
    <w:p>
      <w:r>
        <w:br w:type="page"/>
      </w:r>
    </w:p>
    <w:p>
      <w:pPr>
        <w:pStyle w:val="Heading1"/>
        <w:pBdr>
          <w:bottom w:val="single" w:color="0D7377" w:sz="8" w:space="6"/>
        </w:pBdr>
        <w:spacing w:before="360" w:after="160"/>
      </w:pPr>
      <w:r>
        <w:rPr>
          <w:rFonts w:ascii="Arial" w:cs="Arial" w:eastAsia="Arial" w:hAnsi="Arial"/>
          <w:b/>
          <w:bCs/>
          <w:color w:val="0D1F3C"/>
          <w:sz w:val="36"/>
          <w:szCs w:val="36"/>
        </w:rPr>
        <w:t xml:space="preserve">Annex D: Comparison with Related Standards (Informative)</w:t>
      </w:r>
    </w:p>
    <w:p>
      <w:pPr>
        <w:spacing w:before="6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00"/>
        <w:gridCol w:w="2000"/>
        <w:gridCol w:w="2160"/>
      </w:tblGrid>
      <w:tr>
        <w:trPr>
          <w:tblHeader/>
        </w:trPr>
        <w:tc>
          <w:tcPr>
            <w:tcW w:type="dxa" w:w="32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Feature</w:t>
            </w:r>
          </w:p>
        </w:tc>
        <w:tc>
          <w:tcPr>
            <w:tcW w:type="dxa" w:w="2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UCCO 1.1</w:t>
            </w:r>
          </w:p>
        </w:tc>
        <w:tc>
          <w:tcPr>
            <w:tcW w:type="dxa" w:w="200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W3C VC v2.0</w:t>
            </w:r>
          </w:p>
        </w:tc>
        <w:tc>
          <w:tcPr>
            <w:tcW w:type="dxa" w:w="2160"/>
            <w:tcBorders>
              <w:top w:val="single" w:color="CCCCCC" w:sz="1"/>
              <w:left w:val="single" w:color="CCCCCC" w:sz="1"/>
              <w:bottom w:val="single" w:color="CCCCCC" w:sz="1"/>
              <w:right w:val="single" w:color="CCCCCC" w:sz="1"/>
            </w:tcBorders>
            <w:shd w:fill="0D1F3C" w:val="clear"/>
            <w:tcMar>
              <w:top w:type="dxa" w:w="80"/>
              <w:left w:type="dxa" w:w="160"/>
              <w:bottom w:type="dxa" w:w="80"/>
              <w:right w:type="dxa" w:w="160"/>
            </w:tcMar>
          </w:tcPr>
          <w:p>
            <w:r>
              <w:rPr>
                <w:rFonts w:ascii="Arial" w:cs="Arial" w:eastAsia="Arial" w:hAnsi="Arial"/>
                <w:b/>
                <w:bCs/>
                <w:color w:val="FFFFFF"/>
                <w:sz w:val="22"/>
                <w:szCs w:val="22"/>
              </w:rPr>
              <w:t xml:space="preserve">X.509</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Supports non-human actors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Yes — MACHINE, AI_AGENT, COMPOSITE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Limited</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Survives evidence destruction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Yes — via K1 destruction proof</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Continuous attestation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Yes — heartbeat model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AI context/memory binding</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Yes — Context State Hash</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Fleet delegation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Yes — DFA policy</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Cost-controlled high volume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Yes — Ephemeral Rollups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M2M smart-contract oracle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Yes — Tier 3 events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Partial</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Selective disclosure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Yes — BBS+ on envelope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Yes — BBS+</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Revocation propagation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Yes — Section 11</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Partial — Status List 2021</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Yes — CRL/OCSP</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Distributed Saga (composite)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Yes — state_reconciliation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Offline / partition tolerance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Yes — Store-and-Forward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No</w:t>
            </w:r>
          </w:p>
        </w:tc>
      </w:tr>
      <w:tr>
        <w:tc>
          <w:tcPr>
            <w:tcW w:type="dxa" w:w="3200"/>
            <w:tcBorders>
              <w:top w:val="single" w:color="CCCCCC" w:sz="1"/>
              <w:left w:val="single" w:color="CCCCCC" w:sz="1"/>
              <w:bottom w:val="single" w:color="CCCCCC" w:sz="1"/>
              <w:right w:val="single" w:color="CCCCCC" w:sz="1"/>
            </w:tcBorders>
            <w:shd w:fill="E8F0F7" w:val="clear"/>
            <w:tcMar>
              <w:top w:type="dxa" w:w="80"/>
              <w:left w:type="dxa" w:w="160"/>
              <w:bottom w:type="dxa" w:w="80"/>
              <w:right w:type="dxa" w:w="160"/>
            </w:tcMar>
          </w:tcPr>
          <w:p>
            <w:r>
              <w:rPr>
                <w:rFonts w:ascii="Arial" w:cs="Arial" w:eastAsia="Arial" w:hAnsi="Arial"/>
                <w:b/>
                <w:bCs/>
                <w:i w:val="false"/>
                <w:iCs w:val="false"/>
                <w:color w:val="0D1F3C"/>
                <w:sz w:val="20"/>
                <w:szCs w:val="20"/>
              </w:rPr>
              <w:t xml:space="preserve">Open governance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Yes — Foundation transition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Yes — W3C</w:t>
            </w:r>
          </w:p>
        </w:tc>
        <w:tc>
          <w:tcPr>
            <w:tcW w:type="dxa" w:w="216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i w:val="false"/>
                <w:iCs w:val="false"/>
                <w:color w:val="000000"/>
                <w:sz w:val="20"/>
                <w:szCs w:val="20"/>
              </w:rPr>
              <w:t xml:space="preserve">Yes — IETF/CA/Browser Forum</w:t>
            </w:r>
          </w:p>
        </w:tc>
      </w:tr>
    </w:tbl>
    <w:p>
      <w:pPr>
        <w:spacing w:before="480" w:after="120"/>
      </w:pPr>
      <w:r>
        <w:t xml:space="preserve"/>
      </w:r>
    </w:p>
    <w:p>
      <w:pPr>
        <w:pBdr>
          <w:top w:val="single" w:color="C5D8E8" w:sz="4" w:space="8"/>
        </w:pBdr>
        <w:spacing w:before="480" w:after="120"/>
        <w:jc w:val="center"/>
      </w:pPr>
      <w:r>
        <w:rPr>
          <w:rFonts w:ascii="Arial" w:cs="Arial" w:eastAsia="Arial" w:hAnsi="Arial"/>
          <w:i/>
          <w:iCs/>
          <w:color w:val="666666"/>
          <w:sz w:val="20"/>
          <w:szCs w:val="20"/>
        </w:rPr>
        <w:t xml:space="preserve">End of UCCO Standard — Version 1.1 Draft for Public Comment</w:t>
      </w:r>
    </w:p>
    <w:p>
      <w:pPr>
        <w:spacing w:before="0" w:after="80"/>
        <w:jc w:val="center"/>
      </w:pPr>
      <w:r>
        <w:rPr>
          <w:rFonts w:ascii="Arial" w:cs="Arial" w:eastAsia="Arial" w:hAnsi="Arial"/>
          <w:color w:val="666666"/>
          <w:sz w:val="20"/>
          <w:szCs w:val="20"/>
        </w:rPr>
        <w:t xml:space="preserve">© 2026 UCCA Inc. · Universal Capability Certification Authority · USPTO Reg. No. 7,619,705</w:t>
      </w:r>
    </w:p>
    <w:p>
      <w:pPr>
        <w:spacing w:before="0" w:after="80"/>
        <w:jc w:val="center"/>
      </w:pPr>
      <w:r>
        <w:rPr>
          <w:rFonts w:ascii="Arial" w:cs="Arial" w:eastAsia="Arial" w:hAnsi="Arial"/>
          <w:i/>
          <w:iCs/>
          <w:color w:val="666666"/>
          <w:sz w:val="18"/>
          <w:szCs w:val="18"/>
        </w:rPr>
        <w:t xml:space="preserve">Published as an open standard. Reproduction for standards adoption purposes is permitted with attribution.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5D8E8" w:sz="4" w:space="4"/>
      </w:pBdr>
      <w:tabs>
        <w:tab w:val="right" w:pos="9026"/>
      </w:tabs>
      <w:spacing w:before="120" w:after="0"/>
    </w:pPr>
    <w:r>
      <w:rPr>
        <w:rFonts w:ascii="Arial" w:cs="Arial" w:eastAsia="Arial" w:hAnsi="Arial"/>
        <w:color w:val="666666"/>
        <w:sz w:val="18"/>
        <w:szCs w:val="18"/>
      </w:rPr>
      <w:t xml:space="preserve">© 2026 UCCA Inc. · Universal Capability Certification Authority</w:t>
    </w:r>
    <w:r>
      <w:rPr>
        <w:rFonts w:ascii="Arial" w:cs="Arial" w:eastAsia="Arial" w:hAnsi="Arial"/>
        <w:sz w:val="18"/>
        <w:szCs w:val="18"/>
      </w:rPr>
      <w:t xml:space="preserv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D8E8" w:sz="4" w:space="4"/>
      </w:pBdr>
      <w:tabs>
        <w:tab w:val="right" w:pos="9026"/>
      </w:tabs>
      <w:spacing w:before="0" w:after="120"/>
    </w:pPr>
    <w:r>
      <w:rPr>
        <w:rFonts w:ascii="Arial" w:cs="Arial" w:eastAsia="Arial" w:hAnsi="Arial"/>
        <w:color w:val="666666"/>
        <w:sz w:val="18"/>
        <w:szCs w:val="18"/>
      </w:rPr>
      <w:t xml:space="preserve">UCCO Standard</w:t>
    </w:r>
    <w:r>
      <w:rPr>
        <w:rFonts w:ascii="Arial" w:cs="Arial" w:eastAsia="Arial" w:hAnsi="Arial"/>
        <w:color w:val="666666"/>
        <w:sz w:val="18"/>
        <w:szCs w:val="18"/>
      </w:rPr>
      <w:t xml:space="preserve">	Version 1.1 · Draft for Public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0D1F3C"/>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1A3A5C"/>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0D737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2026-03-13T15:44:20.787Z</dcterms:created>
  <dcterms:modified xsi:type="dcterms:W3CDTF">2026-03-13T15:44:20.787Z</dcterms:modified>
</cp:coreProperties>
</file>

<file path=docProps/custom.xml><?xml version="1.0" encoding="utf-8"?>
<Properties xmlns="http://schemas.openxmlformats.org/officeDocument/2006/custom-properties" xmlns:vt="http://schemas.openxmlformats.org/officeDocument/2006/docPropsVTypes"/>
</file>