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p>
    <w:p>
      <w:pPr>
        <w:spacing w:after="60" w:before="60"/>
      </w:pPr>
    </w:p>
    <w:p>
      <w:pPr>
        <w:spacing w:after="120" w:before="480"/>
        <w:jc w:val="center"/>
      </w:pPr>
      <w:r>
        <w:rPr>
          <w:rFonts w:ascii="Arial" w:cs="Arial" w:eastAsia="Arial" w:hAnsi="Arial"/>
          <w:b/>
          <w:bCs/>
          <w:color w:val="1B3A6B"/>
          <w:sz w:val="52"/>
          <w:szCs w:val="52"/>
        </w:rPr>
        <w:t xml:space="preserve">⏱ TIME MACHINE</w:t>
      </w:r>
    </w:p>
    <w:p>
      <w:pPr>
        <w:spacing w:after="80" w:before="0"/>
        <w:jc w:val="center"/>
      </w:pPr>
      <w:r>
        <w:rPr>
          <w:rFonts w:ascii="Arial" w:cs="Arial" w:eastAsia="Arial" w:hAnsi="Arial"/>
          <w:color w:val="444444"/>
          <w:sz w:val="28"/>
          <w:szCs w:val="28"/>
        </w:rPr>
        <w:t xml:space="preserve">UCCA / UCCO Build Session Handover</w:t>
      </w:r>
    </w:p>
    <w:p>
      <w:pPr>
        <w:spacing w:after="120" w:before="0"/>
        <w:jc w:val="center"/>
      </w:pPr>
      <w:r>
        <w:rPr>
          <w:rFonts w:ascii="Arial" w:cs="Arial" w:eastAsia="Arial" w:hAnsi="Arial"/>
          <w:i/>
          <w:iCs/>
          <w:color w:val="888888"/>
          <w:sz w:val="22"/>
          <w:szCs w:val="22"/>
        </w:rPr>
        <w:t xml:space="preserve">17 March 2026 — Session 13 (The Architecture Session)</w:t>
      </w:r>
    </w:p>
    <w:p>
      <w:pPr>
        <w:pBdr>
          <w:bottom w:val="single" w:color="1B3A6B" w:sz="4" w:space="1"/>
        </w:pBdr>
        <w:spacing w:after="120" w:before="120"/>
      </w:pPr>
    </w:p>
    <w:p>
      <w:pPr>
        <w:spacing w:after="80" w:before="120"/>
        <w:jc w:val="center"/>
      </w:pPr>
      <w:r>
        <w:rPr>
          <w:rFonts w:ascii="Arial" w:cs="Arial" w:eastAsia="Arial" w:hAnsi="Arial"/>
          <w:i/>
          <w:iCs/>
          <w:color w:val="1B3A6B"/>
          <w:sz w:val="24"/>
          <w:szCs w:val="24"/>
        </w:rPr>
        <w:t xml:space="preserve">"UCCO is the bus. Trust travels on it."</w:t>
      </w:r>
    </w:p>
    <w:p>
      <w:pPr>
        <w:spacing w:after="480" w:before="0"/>
        <w:jc w:val="center"/>
      </w:pPr>
      <w:r>
        <w:rPr>
          <w:rFonts w:ascii="Arial" w:cs="Arial" w:eastAsia="Arial" w:hAnsi="Arial"/>
          <w:i/>
          <w:iCs/>
          <w:color w:val="888888"/>
          <w:sz w:val="20"/>
          <w:szCs w:val="20"/>
        </w:rPr>
        <w:t xml:space="preserve">Paste this document as your first message in the next Claude session.</w:t>
      </w:r>
    </w:p>
    <w:p>
      <w:pPr>
        <w:spacing w:after="60" w:before="60"/>
      </w:pPr>
    </w:p>
    <w:p>
      <w:pPr>
        <w:pStyle w:val="Heading1"/>
        <w:spacing w:after="120" w:before="360"/>
      </w:pPr>
      <w:r>
        <w:rPr>
          <w:rFonts w:ascii="Arial" w:cs="Arial" w:eastAsia="Arial" w:hAnsi="Arial"/>
          <w:b/>
          <w:bCs/>
          <w:color w:val="1B3A6B"/>
          <w:sz w:val="32"/>
          <w:szCs w:val="32"/>
        </w:rPr>
        <w:t xml:space="preserve">1. Session 13 Summary</w:t>
      </w:r>
    </w:p>
    <w:p>
      <w:pPr>
        <w:pBdr>
          <w:bottom w:val="single" w:color="1B3A6B" w:sz="4" w:space="1"/>
        </w:pBdr>
        <w:spacing w:after="120" w:before="120"/>
      </w:pPr>
    </w:p>
    <w:p>
      <w:pPr>
        <w:spacing w:after="80" w:before="80"/>
      </w:pPr>
      <w:r>
        <w:rPr>
          <w:rFonts w:ascii="Arial" w:cs="Arial" w:eastAsia="Arial" w:hAnsi="Arial"/>
          <w:sz w:val="22"/>
          <w:szCs w:val="22"/>
        </w:rPr>
        <w:t xml:space="preserve">Session 13 was the architecture session. No code was written. No briefs were deployed. What was produced is more valuable than either: a complete, grounded, honest understanding of what UCCA and UCCO actually are — and how they fit into the ecosystem that's being built around them.</w:t>
      </w:r>
    </w:p>
    <w:p>
      <w:pPr>
        <w:spacing w:after="60" w:before="60"/>
      </w:pPr>
    </w:p>
    <w:p>
      <w:pPr>
        <w:spacing w:after="80" w:before="80"/>
      </w:pPr>
      <w:r>
        <w:rPr>
          <w:rFonts w:ascii="Arial" w:cs="Arial" w:eastAsia="Arial" w:hAnsi="Arial"/>
          <w:sz w:val="22"/>
          <w:szCs w:val="22"/>
        </w:rPr>
        <w:t xml:space="preserve">The session started with Alex's state-of-play report on ucca.online and a contact form diagnostic (Brief #19 written and passed to Alex). It then pivoted into the deepest strategic reasoning session of the project.</w:t>
      </w:r>
    </w:p>
    <w:p>
      <w:pPr>
        <w:spacing w:after="60" w:before="60"/>
      </w:pPr>
    </w:p>
    <w:p>
      <w:pPr>
        <w:pStyle w:val="Heading2"/>
        <w:spacing w:after="80" w:before="280"/>
      </w:pPr>
      <w:r>
        <w:rPr>
          <w:rFonts w:ascii="Arial" w:cs="Arial" w:eastAsia="Arial" w:hAnsi="Arial"/>
          <w:b/>
          <w:bCs/>
          <w:color w:val="1B3A6B"/>
          <w:sz w:val="26"/>
          <w:szCs w:val="26"/>
        </w:rPr>
        <w:t xml:space="preserve">Key Breakthroughs, In Order</w:t>
      </w:r>
    </w:p>
    <w:p>
      <w:pPr>
        <w:pStyle w:val="ListParagraph"/>
        <w:numPr>
          <w:ilvl w:val="0"/>
          <w:numId w:val="2"/>
        </w:numPr>
        <w:spacing w:after="40" w:before="40"/>
      </w:pPr>
      <w:r>
        <w:rPr>
          <w:rFonts w:ascii="Arial" w:cs="Arial" w:eastAsia="Arial" w:hAnsi="Arial"/>
          <w:sz w:val="22"/>
          <w:szCs w:val="22"/>
        </w:rPr>
        <w:t xml:space="preserve">The Project Scope document was written — grounding the two-layer model (Engine + Client Layer), lessons from Sessions 1–12, open standards alignment, commercial models, and operating rules.</w:t>
      </w:r>
    </w:p>
    <w:p>
      <w:pPr>
        <w:pStyle w:val="ListParagraph"/>
        <w:numPr>
          <w:ilvl w:val="0"/>
          <w:numId w:val="2"/>
        </w:numPr>
        <w:spacing w:after="40" w:before="40"/>
      </w:pPr>
      <w:r>
        <w:rPr>
          <w:rFonts w:ascii="Arial" w:cs="Arial" w:eastAsia="Arial" w:hAnsi="Arial"/>
          <w:sz w:val="22"/>
          <w:szCs w:val="22"/>
        </w:rPr>
        <w:t xml:space="preserve">The corpus-agnostic insight: the TGA corpus is Product #1, not the engine itself. The engine processes any structured competency corpus that conforms to the UCCA input spec. Pack-and-return is the second commercial model.</w:t>
      </w:r>
    </w:p>
    <w:p>
      <w:pPr>
        <w:pStyle w:val="ListParagraph"/>
        <w:numPr>
          <w:ilvl w:val="0"/>
          <w:numId w:val="2"/>
        </w:numPr>
        <w:spacing w:after="40" w:before="40"/>
      </w:pPr>
      <w:r>
        <w:rPr>
          <w:rFonts w:ascii="Arial" w:cs="Arial" w:eastAsia="Arial" w:hAnsi="Arial"/>
          <w:sz w:val="22"/>
          <w:szCs w:val="22"/>
        </w:rPr>
        <w:t xml:space="preserve">The ASQA analogy: UCCA is not a trust infrastructure company. UCCA is the commercial engine. UCCO is the framework — the VET Quality Framework equivalent for AI-delivered competency assessment. ASQA didn't write courses. It wrote the rules that make courses valid. UCCO doesn't write corpora. It writes the rules that make corpora fit for AI delivery and credential issuance.</w:t>
      </w:r>
    </w:p>
    <w:p>
      <w:pPr>
        <w:pStyle w:val="ListParagraph"/>
        <w:numPr>
          <w:ilvl w:val="0"/>
          <w:numId w:val="2"/>
        </w:numPr>
        <w:spacing w:after="40" w:before="40"/>
      </w:pPr>
      <w:r>
        <w:rPr>
          <w:rFonts w:ascii="Arial" w:cs="Arial" w:eastAsia="Arial" w:hAnsi="Arial"/>
          <w:sz w:val="22"/>
          <w:szCs w:val="22"/>
        </w:rPr>
        <w:t xml:space="preserve">The bus framing: UCCO is the bus. Trust travels on it. A student starts in Brisbane, finishes in Melbourne, shows a credential in Sydney. The café owner reads it. Hired. No phone calls. No paper. The bus runs on UCCO.</w:t>
      </w:r>
    </w:p>
    <w:p>
      <w:pPr>
        <w:pStyle w:val="ListParagraph"/>
        <w:numPr>
          <w:ilvl w:val="0"/>
          <w:numId w:val="2"/>
        </w:numPr>
        <w:spacing w:after="40" w:before="40"/>
      </w:pPr>
      <w:r>
        <w:rPr>
          <w:rFonts w:ascii="Arial" w:cs="Arial" w:eastAsia="Arial" w:hAnsi="Arial"/>
          <w:sz w:val="22"/>
          <w:szCs w:val="22"/>
        </w:rPr>
        <w:t xml:space="preserve">The four-participant ecosystem: UCCO (framework), UCCA (engine + infrastructure), Combiners (domain experts who spec qualifications), Relying Parties (employers, RTOs, regulators who read credentials).</w:t>
      </w:r>
    </w:p>
    <w:p>
      <w:pPr>
        <w:pStyle w:val="ListParagraph"/>
        <w:numPr>
          <w:ilvl w:val="0"/>
          <w:numId w:val="2"/>
        </w:numPr>
        <w:spacing w:after="40" w:before="40"/>
      </w:pPr>
      <w:r>
        <w:rPr>
          <w:rFonts w:ascii="Arial" w:cs="Arial" w:eastAsia="Arial" w:hAnsi="Arial"/>
          <w:sz w:val="22"/>
          <w:szCs w:val="22"/>
        </w:rPr>
        <w:t xml:space="preserve">The overlay model: Combiners may bring their own proprietary corpus that overlays base units from UCCA's TGA corpus. Base is transferable. Overlay is proprietary. One credential contains both layers. The combiner's corpus is a commercial asset they own and can license.</w:t>
      </w:r>
    </w:p>
    <w:p>
      <w:pPr>
        <w:pStyle w:val="ListParagraph"/>
        <w:numPr>
          <w:ilvl w:val="0"/>
          <w:numId w:val="2"/>
        </w:numPr>
        <w:spacing w:after="40" w:before="40"/>
      </w:pPr>
      <w:r>
        <w:rPr>
          <w:rFonts w:ascii="Arial" w:cs="Arial" w:eastAsia="Arial" w:hAnsi="Arial"/>
          <w:sz w:val="22"/>
          <w:szCs w:val="22"/>
        </w:rPr>
        <w:t xml:space="preserve">The accredited course parallel: ASQA accredits courses that fill skill gaps not covered by national training packages, listed on training.gov.au, owned by an organisation. This is exactly the Combiner model. The parallel is precise and already understood by every regulator in Australia.</w:t>
      </w:r>
    </w:p>
    <w:p>
      <w:pPr>
        <w:pStyle w:val="ListParagraph"/>
        <w:numPr>
          <w:ilvl w:val="0"/>
          <w:numId w:val="2"/>
        </w:numPr>
        <w:spacing w:after="40" w:before="40"/>
      </w:pPr>
      <w:r>
        <w:rPr>
          <w:rFonts w:ascii="Arial" w:cs="Arial" w:eastAsia="Arial" w:hAnsi="Arial"/>
          <w:sz w:val="22"/>
          <w:szCs w:val="22"/>
        </w:rPr>
        <w:t xml:space="preserve">UCCO Foundation suspension confirmed correct. It was an overreach — trying to build the bus and the road and the engine simultaneously. UCCO is the framework only. The foundation restarts when UCCA generates revenue, with a much tighter and more honest scope.</w:t>
      </w:r>
    </w:p>
    <w:p>
      <w:pPr>
        <w:spacing w:after="60" w:before="60"/>
      </w:pPr>
    </w:p>
    <w:p>
      <w:pPr>
        <w:pStyle w:val="Heading1"/>
        <w:spacing w:after="120" w:before="360"/>
      </w:pPr>
      <w:r>
        <w:rPr>
          <w:rFonts w:ascii="Arial" w:cs="Arial" w:eastAsia="Arial" w:hAnsi="Arial"/>
          <w:b/>
          <w:bCs/>
          <w:color w:val="1B3A6B"/>
          <w:sz w:val="32"/>
          <w:szCs w:val="32"/>
        </w:rPr>
        <w:t xml:space="preserve">2. What Was Delivered This Session</w:t>
      </w:r>
    </w:p>
    <w:p>
      <w:pPr>
        <w:pBdr>
          <w:bottom w:val="single" w:color="1B3A6B" w:sz="4" w:space="1"/>
        </w:pBdr>
        <w:spacing w:after="12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5560"/>
      </w:tblGrid>
      <w:tr>
        <w:tc>
          <w:tcPr>
            <w:tcW w:type="dxa" w:w="2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Deliverable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Status</w:t>
            </w:r>
          </w:p>
        </w:tc>
        <w:tc>
          <w:tcPr>
            <w:tcW w:type="dxa" w:w="55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Notes</w:t>
            </w:r>
          </w:p>
        </w:tc>
      </w:tr>
      <w:tr>
        <w:tc>
          <w:tcPr>
            <w:tcW w:type="dxa" w:w="24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UCCA Project Scope &amp; Mission doc</w:t>
            </w:r>
          </w:p>
        </w:tc>
        <w:tc>
          <w:tcPr>
            <w:tcW w:type="dxa" w:w="140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b/>
                <w:bCs/>
                <w:color w:val="007700"/>
                <w:sz w:val="20"/>
                <w:szCs w:val="20"/>
              </w:rPr>
              <w:t xml:space="preserve">WRITTEN ✔</w:t>
            </w:r>
          </w:p>
        </w:tc>
        <w:tc>
          <w:tcPr>
            <w:tcW w:type="dxa" w:w="5560"/>
            <w:tcBorders>
              <w:top w:val="single" w:color="CCCCCC" w:sz="1"/>
              <w:left w:val="single" w:color="CCCCCC" w:sz="1"/>
              <w:bottom w:val="single" w:color="CCCCCC" w:sz="1"/>
              <w:right w:val="single" w:color="CCCCCC" w:sz="1"/>
            </w:tcBorders>
            <w:shd w:fill="F4F8FC" w:val="clear"/>
            <w:tcMar>
              <w:top w:type="dxa" w:w="80"/>
              <w:left w:type="dxa" w:w="120"/>
              <w:bottom w:type="dxa" w:w="80"/>
              <w:right w:type="dxa" w:w="120"/>
            </w:tcMar>
          </w:tcPr>
          <w:p>
            <w:r>
              <w:rPr>
                <w:rFonts w:ascii="Arial" w:cs="Arial" w:eastAsia="Arial" w:hAnsi="Arial"/>
                <w:sz w:val="20"/>
                <w:szCs w:val="20"/>
              </w:rPr>
              <w:t xml:space="preserve">UCCA-ProjectScope-Session13-2026-03-17.docx. Updated 3x this session. Final version includes: ASQA analogy, four-participant ecosystem, combiner model, overlay corpus, commercial models table, open standards alignment, current state, sequence, operating rules.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Brief #19 — Contact Form Diagnostic</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07700"/>
                <w:sz w:val="20"/>
                <w:szCs w:val="20"/>
              </w:rPr>
              <w:t xml:space="preserve">PASSED TO ALEX ✔</w:t>
            </w:r>
          </w:p>
        </w:tc>
        <w:tc>
          <w:tcPr>
            <w:tcW w:type="dxa" w:w="5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D1 inspection confirmed: 4 contacts written, email_sent:1, sms_sent:1 on all. Pipeline is not dark. Bug is notification delivery — wrong recipient address, missing secret, or spam filter. Alex to trace ucca-ir source + Resend logs. Canonical system: IR pipeline. Gmail route to be deleted.</w:t>
            </w:r>
          </w:p>
        </w:tc>
      </w:tr>
    </w:tbl>
    <w:p>
      <w:pPr>
        <w:spacing w:after="60" w:before="60"/>
      </w:pPr>
    </w:p>
    <w:p>
      <w:pPr>
        <w:pStyle w:val="Heading1"/>
        <w:spacing w:after="120" w:before="360"/>
      </w:pPr>
      <w:r>
        <w:rPr>
          <w:rFonts w:ascii="Arial" w:cs="Arial" w:eastAsia="Arial" w:hAnsi="Arial"/>
          <w:b/>
          <w:bCs/>
          <w:color w:val="1B3A6B"/>
          <w:sz w:val="32"/>
          <w:szCs w:val="32"/>
        </w:rPr>
        <w:t xml:space="preserve">3. The Architecture — What to Load Into Any New Session</w:t>
      </w:r>
    </w:p>
    <w:p>
      <w:pPr>
        <w:pBdr>
          <w:bottom w:val="single" w:color="1B3A6B" w:sz="4" w:space="1"/>
        </w:pBdr>
        <w:spacing w:after="120" w:before="120"/>
      </w:pPr>
    </w:p>
    <w:p>
      <w:pPr>
        <w:pBdr>
          <w:left w:val="single" w:color="1B3A6B" w:sz="12" w:space="8"/>
        </w:pBdr>
        <w:shd w:fill="F4F8FC" w:val="clear"/>
        <w:spacing w:after="120" w:before="120"/>
      </w:pPr>
      <w:r>
        <w:rPr>
          <w:rFonts w:ascii="Arial" w:cs="Arial" w:eastAsia="Arial" w:hAnsi="Arial"/>
          <w:i/>
          <w:iCs/>
          <w:sz w:val="22"/>
          <w:szCs w:val="22"/>
        </w:rPr>
        <w:t xml:space="preserve">If you only read one section, read this one. This is the complete mental model.</w:t>
      </w:r>
    </w:p>
    <w:p>
      <w:pPr>
        <w:spacing w:after="60" w:before="60"/>
      </w:pPr>
    </w:p>
    <w:p>
      <w:pPr>
        <w:pStyle w:val="Heading2"/>
        <w:spacing w:after="80" w:before="280"/>
      </w:pPr>
      <w:r>
        <w:rPr>
          <w:rFonts w:ascii="Arial" w:cs="Arial" w:eastAsia="Arial" w:hAnsi="Arial"/>
          <w:b/>
          <w:bCs/>
          <w:color w:val="1B3A6B"/>
          <w:sz w:val="26"/>
          <w:szCs w:val="26"/>
        </w:rPr>
        <w:t xml:space="preserve">UCCO — The Framework</w:t>
      </w:r>
    </w:p>
    <w:p>
      <w:pPr>
        <w:spacing w:after="80" w:before="80"/>
      </w:pPr>
      <w:r>
        <w:rPr>
          <w:rFonts w:ascii="Arial" w:cs="Arial" w:eastAsia="Arial" w:hAnsi="Arial"/>
          <w:sz w:val="22"/>
          <w:szCs w:val="22"/>
        </w:rPr>
        <w:t xml:space="preserve">UCCO publishes the standard. It defines: what a valid competency corpus looks like (the input spec), what a valid capability credential contains (the output schema), how AI-delivered assessment must be conducted (the conformance rules), and what a relying party can trust when they read a UCCO-compliant credential. UCCO does not build anything commercial. It writes the law. The VET Quality Framework equivalent for the machine world.</w:t>
      </w:r>
    </w:p>
    <w:p>
      <w:pPr>
        <w:spacing w:after="60" w:before="60"/>
      </w:pPr>
    </w:p>
    <w:p>
      <w:pPr>
        <w:pStyle w:val="Heading2"/>
        <w:spacing w:after="80" w:before="280"/>
      </w:pPr>
      <w:r>
        <w:rPr>
          <w:rFonts w:ascii="Arial" w:cs="Arial" w:eastAsia="Arial" w:hAnsi="Arial"/>
          <w:b/>
          <w:bCs/>
          <w:color w:val="1B3A6B"/>
          <w:sz w:val="26"/>
          <w:szCs w:val="26"/>
        </w:rPr>
        <w:t xml:space="preserve">UCCA — The Engine and Infrastructure</w:t>
      </w:r>
    </w:p>
    <w:p>
      <w:pPr>
        <w:spacing w:after="80" w:before="80"/>
      </w:pPr>
      <w:r>
        <w:rPr>
          <w:rFonts w:ascii="Arial" w:cs="Arial" w:eastAsia="Arial" w:hAnsi="Arial"/>
          <w:sz w:val="22"/>
          <w:szCs w:val="22"/>
        </w:rPr>
        <w:t xml:space="preserve">UCCA implements the UCCO framework commercially. It operates the packing engine (ucca-engine), the credential infrastructure (keys.ucca.online), the ops console (ops.ucca.online), and the client surfaces (RTOpacks, ucca.online, ir.ucca.online). It owns the TGA corpus — Product #1. It charges for packing, credentials, and infrastructure. It is the bus company.</w:t>
      </w:r>
    </w:p>
    <w:p>
      <w:pPr>
        <w:spacing w:after="60" w:before="60"/>
      </w:pPr>
    </w:p>
    <w:p>
      <w:pPr>
        <w:pStyle w:val="Heading2"/>
        <w:spacing w:after="80" w:before="280"/>
      </w:pPr>
      <w:r>
        <w:rPr>
          <w:rFonts w:ascii="Arial" w:cs="Arial" w:eastAsia="Arial" w:hAnsi="Arial"/>
          <w:b/>
          <w:bCs/>
          <w:color w:val="1B3A6B"/>
          <w:sz w:val="26"/>
          <w:szCs w:val="26"/>
        </w:rPr>
        <w:t xml:space="preserve">The TGA Corpus — Product #1, Not the Engine</w:t>
      </w:r>
    </w:p>
    <w:p>
      <w:pPr>
        <w:spacing w:after="80" w:before="80"/>
      </w:pPr>
      <w:r>
        <w:rPr>
          <w:rFonts w:ascii="Arial" w:cs="Arial" w:eastAsia="Arial" w:hAnsi="Arial"/>
          <w:sz w:val="22"/>
          <w:szCs w:val="22"/>
        </w:rPr>
        <w:t xml:space="preserve">15,200+ atomic vocational competency units across 52 training packages. 60 years of taxpayer-funded taxonomy. UCCA owns it. UCCA sells credentials from it. RTOpacks is the first product built on it. But the engine is corpus-agnostic. It processes any structured competency corpus that conforms to the UCCO input spec. The TGA corpus is the first and most valuable input. It is not the only input.</w:t>
      </w:r>
    </w:p>
    <w:p>
      <w:pPr>
        <w:spacing w:after="60" w:before="60"/>
      </w:pPr>
    </w:p>
    <w:p>
      <w:pPr>
        <w:pStyle w:val="Heading2"/>
        <w:spacing w:after="80" w:before="280"/>
      </w:pPr>
      <w:r>
        <w:rPr>
          <w:rFonts w:ascii="Arial" w:cs="Arial" w:eastAsia="Arial" w:hAnsi="Arial"/>
          <w:b/>
          <w:bCs/>
          <w:color w:val="1B3A6B"/>
          <w:sz w:val="26"/>
          <w:szCs w:val="26"/>
        </w:rPr>
        <w:t xml:space="preserve">Three Commercial Models</w:t>
      </w:r>
    </w:p>
    <w:p>
      <w:pPr>
        <w:pStyle w:val="ListParagraph"/>
        <w:numPr>
          <w:ilvl w:val="0"/>
          <w:numId w:val="3"/>
        </w:numPr>
        <w:spacing w:after="40" w:before="40"/>
      </w:pPr>
      <w:r>
        <w:rPr>
          <w:rFonts w:ascii="Arial" w:cs="Arial" w:eastAsia="Arial" w:hAnsi="Arial"/>
          <w:sz w:val="22"/>
          <w:szCs w:val="22"/>
        </w:rPr>
        <w:t xml:space="preserve">Corpus as Product — RTO buys pre-packed TGA credentials off the shelf. RTOpacks is this model.</w:t>
      </w:r>
    </w:p>
    <w:p>
      <w:pPr>
        <w:pStyle w:val="ListParagraph"/>
        <w:numPr>
          <w:ilvl w:val="0"/>
          <w:numId w:val="3"/>
        </w:numPr>
        <w:spacing w:after="40" w:before="40"/>
      </w:pPr>
      <w:r>
        <w:rPr>
          <w:rFonts w:ascii="Arial" w:cs="Arial" w:eastAsia="Arial" w:hAnsi="Arial"/>
          <w:sz w:val="22"/>
          <w:szCs w:val="22"/>
        </w:rPr>
        <w:t xml:space="preserve">Pack-and-Return — Client brings their own corpus. UCCA converts it to the input spec, runs the engine, returns W3C VC credentials the client owns. Charges for packing.</w:t>
      </w:r>
    </w:p>
    <w:p>
      <w:pPr>
        <w:pStyle w:val="ListParagraph"/>
        <w:numPr>
          <w:ilvl w:val="0"/>
          <w:numId w:val="3"/>
        </w:numPr>
        <w:spacing w:after="40" w:before="40"/>
      </w:pPr>
      <w:r>
        <w:rPr>
          <w:rFonts w:ascii="Arial" w:cs="Arial" w:eastAsia="Arial" w:hAnsi="Arial"/>
          <w:sz w:val="22"/>
          <w:szCs w:val="22"/>
        </w:rPr>
        <w:t xml:space="preserve">Schema Licensing / Certification — Future. Third-party packers use the UCCO schema. UCCA certifies packers or verifies output. Deferred until RTOpacks ships.</w:t>
      </w:r>
    </w:p>
    <w:p>
      <w:pPr>
        <w:spacing w:after="60" w:before="60"/>
      </w:pPr>
    </w:p>
    <w:p>
      <w:pPr>
        <w:pStyle w:val="Heading2"/>
        <w:spacing w:after="80" w:before="280"/>
      </w:pPr>
      <w:r>
        <w:rPr>
          <w:rFonts w:ascii="Arial" w:cs="Arial" w:eastAsia="Arial" w:hAnsi="Arial"/>
          <w:b/>
          <w:bCs/>
          <w:color w:val="1B3A6B"/>
          <w:sz w:val="26"/>
          <w:szCs w:val="26"/>
        </w:rPr>
        <w:t xml:space="preserve">Four Ecosystem Participants</w:t>
      </w:r>
    </w:p>
    <w:p>
      <w:pPr>
        <w:pStyle w:val="ListParagraph"/>
        <w:numPr>
          <w:ilvl w:val="0"/>
          <w:numId w:val="3"/>
        </w:numPr>
        <w:spacing w:after="40" w:before="40"/>
      </w:pPr>
      <w:r>
        <w:rPr>
          <w:rFonts w:ascii="Arial" w:cs="Arial" w:eastAsia="Arial" w:hAnsi="Arial"/>
          <w:sz w:val="22"/>
          <w:szCs w:val="22"/>
        </w:rPr>
        <w:t xml:space="preserve">UCCO — writes the framework. The rules. The input spec. The output schema. The bus infrastructure.</w:t>
      </w:r>
    </w:p>
    <w:p>
      <w:pPr>
        <w:pStyle w:val="ListParagraph"/>
        <w:numPr>
          <w:ilvl w:val="0"/>
          <w:numId w:val="3"/>
        </w:numPr>
        <w:spacing w:after="40" w:before="40"/>
      </w:pPr>
      <w:r>
        <w:rPr>
          <w:rFonts w:ascii="Arial" w:cs="Arial" w:eastAsia="Arial" w:hAnsi="Arial"/>
          <w:sz w:val="22"/>
          <w:szCs w:val="22"/>
        </w:rPr>
        <w:t xml:space="preserve">UCCA — runs the engine. Packs corpora. Issues credentials. Operates the bus company.</w:t>
      </w:r>
    </w:p>
    <w:p>
      <w:pPr>
        <w:pStyle w:val="ListParagraph"/>
        <w:numPr>
          <w:ilvl w:val="0"/>
          <w:numId w:val="3"/>
        </w:numPr>
        <w:spacing w:after="40" w:before="40"/>
      </w:pPr>
      <w:r>
        <w:rPr>
          <w:rFonts w:ascii="Arial" w:cs="Arial" w:eastAsia="Arial" w:hAnsi="Arial"/>
          <w:sz w:val="22"/>
          <w:szCs w:val="22"/>
        </w:rPr>
        <w:t xml:space="preserve">Combiners — domain experts who select UCCO-compliant units and bundle them into qualification specs. May bring their own proprietary corpus as an overlay on base units. Pay UCCA per pack. Their corpus is a commercial asset they own and can license.</w:t>
      </w:r>
    </w:p>
    <w:p>
      <w:pPr>
        <w:pStyle w:val="ListParagraph"/>
        <w:numPr>
          <w:ilvl w:val="0"/>
          <w:numId w:val="3"/>
        </w:numPr>
        <w:spacing w:after="40" w:before="40"/>
      </w:pPr>
      <w:r>
        <w:rPr>
          <w:rFonts w:ascii="Arial" w:cs="Arial" w:eastAsia="Arial" w:hAnsi="Arial"/>
          <w:sz w:val="22"/>
          <w:szCs w:val="22"/>
        </w:rPr>
        <w:t xml:space="preserve">Relying Parties — RTOs, employers, regulators. Read the credential. Care only that it is on the bus.</w:t>
      </w:r>
    </w:p>
    <w:p>
      <w:pPr>
        <w:spacing w:after="60" w:before="60"/>
      </w:pPr>
    </w:p>
    <w:p>
      <w:pPr>
        <w:pStyle w:val="Heading2"/>
        <w:spacing w:after="80" w:before="280"/>
      </w:pPr>
      <w:r>
        <w:rPr>
          <w:rFonts w:ascii="Arial" w:cs="Arial" w:eastAsia="Arial" w:hAnsi="Arial"/>
          <w:b/>
          <w:bCs/>
          <w:color w:val="1B3A6B"/>
          <w:sz w:val="26"/>
          <w:szCs w:val="26"/>
        </w:rPr>
        <w:t xml:space="preserve">The Canonical Use Case</w:t>
      </w:r>
    </w:p>
    <w:p>
      <w:pPr>
        <w:pBdr>
          <w:left w:val="single" w:color="1B3A6B" w:sz="12" w:space="8"/>
        </w:pBdr>
        <w:shd w:fill="F4F8FC" w:val="clear"/>
        <w:spacing w:after="120" w:before="120"/>
      </w:pPr>
      <w:r>
        <w:rPr>
          <w:rFonts w:ascii="Arial" w:cs="Arial" w:eastAsia="Arial" w:hAnsi="Arial"/>
          <w:i/>
          <w:iCs/>
          <w:sz w:val="22"/>
          <w:szCs w:val="22"/>
        </w:rPr>
        <w:t xml:space="preserve">A student starts a course at a Brisbane RTO, moves to Melbourne, finishes at a different RTO, then walks into a Sydney café and shows a credential on their phone. The café owner reads it: competency verified, standard met, credential valid. Hired. No phone calls. No paper. No folder of PDFs. That is what UCCO makes possible. That is the bus.</w:t>
      </w:r>
    </w:p>
    <w:p>
      <w:pPr>
        <w:spacing w:after="60" w:before="60"/>
      </w:pPr>
    </w:p>
    <w:p>
      <w:pPr>
        <w:pStyle w:val="Heading2"/>
        <w:spacing w:after="80" w:before="280"/>
      </w:pPr>
      <w:r>
        <w:rPr>
          <w:rFonts w:ascii="Arial" w:cs="Arial" w:eastAsia="Arial" w:hAnsi="Arial"/>
          <w:b/>
          <w:bCs/>
          <w:color w:val="1B3A6B"/>
          <w:sz w:val="26"/>
          <w:szCs w:val="26"/>
        </w:rPr>
        <w:t xml:space="preserve">The Open Standards Alignment</w:t>
      </w:r>
    </w:p>
    <w:p>
      <w:pPr>
        <w:spacing w:after="80" w:before="80"/>
      </w:pPr>
      <w:r>
        <w:rPr>
          <w:rFonts w:ascii="Arial" w:cs="Arial" w:eastAsia="Arial" w:hAnsi="Arial"/>
          <w:sz w:val="22"/>
          <w:szCs w:val="22"/>
        </w:rPr>
        <w:t xml:space="preserve">UCCO does not compete with W3C VCs, OpenID4VCI/VP, NIST, or MCP. It plugs into them. W3C VCs are the credential container. OpenID4VP is the verification protocol. NIST defines trust levels. MCP handles agent interoperability. UCCO defines what goes inside the container — the capability content schema. Nobody else is doing this. The space is confirmed empty.</w:t>
      </w:r>
    </w:p>
    <w:p>
      <w:pPr>
        <w:spacing w:after="60" w:before="60"/>
      </w:pPr>
    </w:p>
    <w:p>
      <w:pPr>
        <w:pStyle w:val="Heading1"/>
        <w:spacing w:after="120" w:before="360"/>
      </w:pPr>
      <w:r>
        <w:rPr>
          <w:rFonts w:ascii="Arial" w:cs="Arial" w:eastAsia="Arial" w:hAnsi="Arial"/>
          <w:b/>
          <w:bCs/>
          <w:color w:val="1B3A6B"/>
          <w:sz w:val="32"/>
          <w:szCs w:val="32"/>
        </w:rPr>
        <w:t xml:space="preserve">4. Open Items — Perimeter Walk</w:t>
      </w:r>
    </w:p>
    <w:p>
      <w:pPr>
        <w:pBdr>
          <w:bottom w:val="single" w:color="1B3A6B" w:sz="4" w:space="1"/>
        </w:pBdr>
        <w:spacing w:after="120" w:before="120"/>
      </w:pPr>
    </w:p>
    <w:p>
      <w:pPr>
        <w:pStyle w:val="Heading2"/>
        <w:spacing w:after="80" w:before="280"/>
      </w:pPr>
      <w:r>
        <w:rPr>
          <w:rFonts w:ascii="Arial" w:cs="Arial" w:eastAsia="Arial" w:hAnsi="Arial"/>
          <w:b/>
          <w:bCs/>
          <w:color w:val="1B3A6B"/>
          <w:sz w:val="26"/>
          <w:szCs w:val="26"/>
        </w:rPr>
        <w:t xml:space="preserve">4.1 URGENT — Domain Renewals</w:t>
      </w:r>
    </w:p>
    <w:p>
      <w:pPr>
        <w:spacing w:after="80" w:before="80"/>
      </w:pPr>
      <w:r>
        <w:rPr>
          <w:rFonts w:ascii="Arial" w:cs="Arial" w:eastAsia="Arial" w:hAnsi="Arial"/>
          <w:b/>
          <w:bCs/>
          <w:color w:val="CC0000"/>
          <w:sz w:val="22"/>
          <w:szCs w:val="22"/>
        </w:rPr>
        <w:t xml:space="preserve">⚠️  ucca.com.au and ucca.asia expire March 24. Renew NOW. This has been flagged since Session 11.</w:t>
      </w:r>
    </w:p>
    <w:p>
      <w:pPr>
        <w:spacing w:after="60" w:before="60"/>
      </w:pPr>
    </w:p>
    <w:p>
      <w:pPr>
        <w:pStyle w:val="Heading2"/>
        <w:spacing w:after="80" w:before="280"/>
      </w:pPr>
      <w:r>
        <w:rPr>
          <w:rFonts w:ascii="Arial" w:cs="Arial" w:eastAsia="Arial" w:hAnsi="Arial"/>
          <w:b/>
          <w:bCs/>
          <w:color w:val="1B3A6B"/>
          <w:sz w:val="26"/>
          <w:szCs w:val="26"/>
        </w:rPr>
        <w:t xml:space="preserve">4.2 Brief #19 — Contact Form Diagnostic (Passed to Alex)</w:t>
      </w:r>
    </w:p>
    <w:p>
      <w:pPr>
        <w:pStyle w:val="ListParagraph"/>
        <w:numPr>
          <w:ilvl w:val="0"/>
          <w:numId w:val="3"/>
        </w:numPr>
        <w:spacing w:after="40" w:before="40"/>
      </w:pPr>
      <w:r>
        <w:rPr>
          <w:rFonts w:ascii="Arial" w:cs="Arial" w:eastAsia="Arial" w:hAnsi="Arial"/>
          <w:sz w:val="22"/>
          <w:szCs w:val="22"/>
        </w:rPr>
        <w:t xml:space="preserve">Alex to pull ucca-ir source: find the notification email recipient, check Resend delivery logs</w:t>
      </w:r>
    </w:p>
    <w:p>
      <w:pPr>
        <w:pStyle w:val="ListParagraph"/>
        <w:numPr>
          <w:ilvl w:val="0"/>
          <w:numId w:val="3"/>
        </w:numPr>
        <w:spacing w:after="40" w:before="40"/>
      </w:pPr>
      <w:r>
        <w:rPr>
          <w:rFonts w:ascii="Arial" w:cs="Arial" w:eastAsia="Arial" w:hAnsi="Arial"/>
          <w:sz w:val="22"/>
          <w:szCs w:val="22"/>
        </w:rPr>
        <w:t xml:space="preserve">Check wrangler secret list --name ucca-ir: confirm RESEND_API_KEY, TWILIO credentials present</w:t>
      </w:r>
    </w:p>
    <w:p>
      <w:pPr>
        <w:pStyle w:val="ListParagraph"/>
        <w:numPr>
          <w:ilvl w:val="0"/>
          <w:numId w:val="3"/>
        </w:numPr>
        <w:spacing w:after="40" w:before="40"/>
      </w:pPr>
      <w:r>
        <w:rPr>
          <w:rFonts w:ascii="Arial" w:cs="Arial" w:eastAsia="Arial" w:hAnsi="Arial"/>
          <w:sz w:val="22"/>
          <w:szCs w:val="22"/>
        </w:rPr>
        <w:t xml:space="preserve">Delete unused /api/contact Gmail route in marketing app — IR pipeline is canonical</w:t>
      </w:r>
    </w:p>
    <w:p>
      <w:pPr>
        <w:pStyle w:val="ListParagraph"/>
        <w:numPr>
          <w:ilvl w:val="0"/>
          <w:numId w:val="3"/>
        </w:numPr>
        <w:spacing w:after="40" w:before="40"/>
      </w:pPr>
      <w:r>
        <w:rPr>
          <w:rFonts w:ascii="Arial" w:cs="Arial" w:eastAsia="Arial" w:hAnsi="Arial"/>
          <w:sz w:val="22"/>
          <w:szCs w:val="22"/>
        </w:rPr>
        <w:t xml:space="preserve">Add Contact Pipeline status card to ops.ucca.online (last contact, email_sent count, sms_sent count)</w:t>
      </w:r>
    </w:p>
    <w:p>
      <w:pPr>
        <w:spacing w:after="60" w:before="60"/>
      </w:pPr>
    </w:p>
    <w:p>
      <w:pPr>
        <w:pStyle w:val="Heading2"/>
        <w:spacing w:after="80" w:before="280"/>
      </w:pPr>
      <w:r>
        <w:rPr>
          <w:rFonts w:ascii="Arial" w:cs="Arial" w:eastAsia="Arial" w:hAnsi="Arial"/>
          <w:b/>
          <w:bCs/>
          <w:color w:val="1B3A6B"/>
          <w:sz w:val="26"/>
          <w:szCs w:val="26"/>
        </w:rPr>
        <w:t xml:space="preserve">4.3 From Previous Sessions — Still Active</w:t>
      </w:r>
    </w:p>
    <w:p>
      <w:pPr>
        <w:pStyle w:val="ListParagraph"/>
        <w:numPr>
          <w:ilvl w:val="0"/>
          <w:numId w:val="3"/>
        </w:numPr>
        <w:spacing w:after="40" w:before="40"/>
      </w:pPr>
      <w:r>
        <w:rPr>
          <w:rFonts w:ascii="Arial" w:cs="Arial" w:eastAsia="Arial" w:hAnsi="Arial"/>
          <w:sz w:val="22"/>
          <w:szCs w:val="22"/>
        </w:rPr>
        <w:t xml:space="preserve">RTOpacks DNS cutover + SSL — Moodle on Hostinger (82.112.249.102) needs to go live</w:t>
      </w:r>
    </w:p>
    <w:p>
      <w:pPr>
        <w:pStyle w:val="ListParagraph"/>
        <w:numPr>
          <w:ilvl w:val="0"/>
          <w:numId w:val="3"/>
        </w:numPr>
        <w:spacing w:after="40" w:before="40"/>
      </w:pPr>
      <w:r>
        <w:rPr>
          <w:rFonts w:ascii="Arial" w:cs="Arial" w:eastAsia="Arial" w:hAnsi="Arial"/>
          <w:sz w:val="22"/>
          <w:szCs w:val="22"/>
        </w:rPr>
        <w:t xml:space="preserve">Contact Mavis — start content production against Composer pipeline</w:t>
      </w:r>
    </w:p>
    <w:p>
      <w:pPr>
        <w:pStyle w:val="ListParagraph"/>
        <w:numPr>
          <w:ilvl w:val="0"/>
          <w:numId w:val="3"/>
        </w:numPr>
        <w:spacing w:after="40" w:before="40"/>
      </w:pPr>
      <w:r>
        <w:rPr>
          <w:rFonts w:ascii="Arial" w:cs="Arial" w:eastAsia="Arial" w:hAnsi="Arial"/>
          <w:sz w:val="22"/>
          <w:szCs w:val="22"/>
        </w:rPr>
        <w:t xml:space="preserve">DMARC hardening — p=none → p=reject across all zones</w:t>
      </w:r>
    </w:p>
    <w:p>
      <w:pPr>
        <w:pStyle w:val="ListParagraph"/>
        <w:numPr>
          <w:ilvl w:val="0"/>
          <w:numId w:val="3"/>
        </w:numPr>
        <w:spacing w:after="40" w:before="40"/>
      </w:pPr>
      <w:r>
        <w:rPr>
          <w:rFonts w:ascii="Arial" w:cs="Arial" w:eastAsia="Arial" w:hAnsi="Arial"/>
          <w:sz w:val="22"/>
          <w:szCs w:val="22"/>
        </w:rPr>
        <w:t xml:space="preserve">Branch merge — feature/finance-page-mercury (9 commits) not merged to main</w:t>
      </w:r>
    </w:p>
    <w:p>
      <w:pPr>
        <w:pStyle w:val="ListParagraph"/>
        <w:numPr>
          <w:ilvl w:val="0"/>
          <w:numId w:val="3"/>
        </w:numPr>
        <w:spacing w:after="40" w:before="40"/>
      </w:pPr>
      <w:r>
        <w:rPr>
          <w:rFonts w:ascii="Arial" w:cs="Arial" w:eastAsia="Arial" w:hAnsi="Arial"/>
          <w:sz w:val="22"/>
          <w:szCs w:val="22"/>
        </w:rPr>
        <w:t xml:space="preserve">Mobile breakpoints — ucca.online missing 480px and 360px handling</w:t>
      </w:r>
    </w:p>
    <w:p>
      <w:pPr>
        <w:spacing w:after="60" w:before="60"/>
      </w:pPr>
    </w:p>
    <w:p>
      <w:pPr>
        <w:pStyle w:val="Heading2"/>
        <w:spacing w:after="80" w:before="280"/>
      </w:pPr>
      <w:r>
        <w:rPr>
          <w:rFonts w:ascii="Arial" w:cs="Arial" w:eastAsia="Arial" w:hAnsi="Arial"/>
          <w:b/>
          <w:bCs/>
          <w:color w:val="1B3A6B"/>
          <w:sz w:val="26"/>
          <w:szCs w:val="26"/>
        </w:rPr>
        <w:t xml:space="preserve">4.4 Parked — Foundation</w:t>
      </w:r>
    </w:p>
    <w:p>
      <w:pPr>
        <w:spacing w:after="80" w:before="80"/>
      </w:pPr>
      <w:r>
        <w:rPr>
          <w:rFonts w:ascii="Arial" w:cs="Arial" w:eastAsia="Arial" w:hAnsi="Arial"/>
          <w:sz w:val="22"/>
          <w:szCs w:val="22"/>
        </w:rPr>
        <w:t xml:space="preserve">All foundation work parked per FOUNDATION PARK RULE. Documented in UCCO-Foundation-Status-Suspension-Brief-2026-03-17.docx. Restarts when UCCA generates revenue with a tighter, more honest scope: UCCO is the framework document and governance body, not a cryptographic infrastructure builder.</w:t>
      </w:r>
    </w:p>
    <w:p>
      <w:pPr>
        <w:spacing w:after="60" w:before="60"/>
      </w:pPr>
    </w:p>
    <w:p>
      <w:pPr>
        <w:pStyle w:val="Heading1"/>
        <w:spacing w:after="120" w:before="360"/>
      </w:pPr>
      <w:r>
        <w:rPr>
          <w:rFonts w:ascii="Arial" w:cs="Arial" w:eastAsia="Arial" w:hAnsi="Arial"/>
          <w:b/>
          <w:bCs/>
          <w:color w:val="1B3A6B"/>
          <w:sz w:val="32"/>
          <w:szCs w:val="32"/>
        </w:rPr>
        <w:t xml:space="preserve">5. Next Actions</w:t>
      </w:r>
    </w:p>
    <w:p>
      <w:pPr>
        <w:pBdr>
          <w:bottom w:val="single" w:color="1B3A6B" w:sz="4" w:space="1"/>
        </w:pBdr>
        <w:spacing w:after="120" w:before="120"/>
      </w:pPr>
    </w:p>
    <w:p>
      <w:pPr>
        <w:pStyle w:val="Heading2"/>
        <w:spacing w:after="80" w:before="280"/>
      </w:pPr>
      <w:r>
        <w:rPr>
          <w:rFonts w:ascii="Arial" w:cs="Arial" w:eastAsia="Arial" w:hAnsi="Arial"/>
          <w:b/>
          <w:bCs/>
          <w:color w:val="1B3A6B"/>
          <w:sz w:val="26"/>
          <w:szCs w:val="26"/>
        </w:rPr>
        <w:t xml:space="preserve">Tim — Immediate</w:t>
      </w:r>
    </w:p>
    <w:p>
      <w:pPr>
        <w:pStyle w:val="ListParagraph"/>
        <w:numPr>
          <w:ilvl w:val="0"/>
          <w:numId w:val="2"/>
        </w:numPr>
        <w:spacing w:after="40" w:before="40"/>
      </w:pPr>
      <w:r>
        <w:rPr>
          <w:rFonts w:ascii="Arial" w:cs="Arial" w:eastAsia="Arial" w:hAnsi="Arial"/>
          <w:sz w:val="22"/>
          <w:szCs w:val="22"/>
        </w:rPr>
        <w:t xml:space="preserve">⚠️  Renew ucca.com.au + ucca.asia before March 24.</w:t>
      </w:r>
    </w:p>
    <w:p>
      <w:pPr>
        <w:pStyle w:val="ListParagraph"/>
        <w:numPr>
          <w:ilvl w:val="0"/>
          <w:numId w:val="2"/>
        </w:numPr>
        <w:spacing w:after="40" w:before="40"/>
      </w:pPr>
      <w:r>
        <w:rPr>
          <w:rFonts w:ascii="Arial" w:cs="Arial" w:eastAsia="Arial" w:hAnsi="Arial"/>
          <w:sz w:val="22"/>
          <w:szCs w:val="22"/>
        </w:rPr>
        <w:t xml:space="preserve">Await Brief #19 result from Alex — confirm contact form is delivering to Tim's inbox.</w:t>
      </w:r>
    </w:p>
    <w:p>
      <w:pPr>
        <w:pStyle w:val="ListParagraph"/>
        <w:numPr>
          <w:ilvl w:val="0"/>
          <w:numId w:val="2"/>
        </w:numPr>
        <w:spacing w:after="40" w:before="40"/>
      </w:pPr>
      <w:r>
        <w:rPr>
          <w:rFonts w:ascii="Arial" w:cs="Arial" w:eastAsia="Arial" w:hAnsi="Arial"/>
          <w:sz w:val="22"/>
          <w:szCs w:val="22"/>
        </w:rPr>
        <w:t xml:space="preserve">Brief Alex: RTOpacks DNS cutover + SSL. Make Moodle reachable.</w:t>
      </w:r>
    </w:p>
    <w:p>
      <w:pPr>
        <w:pStyle w:val="ListParagraph"/>
        <w:numPr>
          <w:ilvl w:val="0"/>
          <w:numId w:val="2"/>
        </w:numPr>
        <w:spacing w:after="40" w:before="40"/>
      </w:pPr>
      <w:r>
        <w:rPr>
          <w:rFonts w:ascii="Arial" w:cs="Arial" w:eastAsia="Arial" w:hAnsi="Arial"/>
          <w:sz w:val="22"/>
          <w:szCs w:val="22"/>
        </w:rPr>
        <w:t xml:space="preserve">Contact Mavis — first content production run against Composer pipeline.</w:t>
      </w:r>
    </w:p>
    <w:p>
      <w:pPr>
        <w:spacing w:after="60" w:before="60"/>
      </w:pPr>
    </w:p>
    <w:p>
      <w:pPr>
        <w:pStyle w:val="Heading2"/>
        <w:spacing w:after="80" w:before="280"/>
      </w:pPr>
      <w:r>
        <w:rPr>
          <w:rFonts w:ascii="Arial" w:cs="Arial" w:eastAsia="Arial" w:hAnsi="Arial"/>
          <w:b/>
          <w:bCs/>
          <w:color w:val="1B3A6B"/>
          <w:sz w:val="26"/>
          <w:szCs w:val="26"/>
        </w:rPr>
        <w:t xml:space="preserve">Alex — Queued</w:t>
      </w:r>
    </w:p>
    <w:p>
      <w:pPr>
        <w:pStyle w:val="ListParagraph"/>
        <w:numPr>
          <w:ilvl w:val="0"/>
          <w:numId w:val="2"/>
        </w:numPr>
        <w:spacing w:after="40" w:before="40"/>
      </w:pPr>
      <w:r>
        <w:rPr>
          <w:rFonts w:ascii="Arial" w:cs="Arial" w:eastAsia="Arial" w:hAnsi="Arial"/>
          <w:sz w:val="22"/>
          <w:szCs w:val="22"/>
        </w:rPr>
        <w:t xml:space="preserve">Brief #19 — Contact form diagnostic (already passed). Confirm resolution before next brief drops.</w:t>
      </w:r>
    </w:p>
    <w:p>
      <w:pPr>
        <w:pStyle w:val="ListParagraph"/>
        <w:numPr>
          <w:ilvl w:val="0"/>
          <w:numId w:val="2"/>
        </w:numPr>
        <w:spacing w:after="40" w:before="40"/>
      </w:pPr>
      <w:r>
        <w:rPr>
          <w:rFonts w:ascii="Arial" w:cs="Arial" w:eastAsia="Arial" w:hAnsi="Arial"/>
          <w:sz w:val="22"/>
          <w:szCs w:val="22"/>
        </w:rPr>
        <w:t xml:space="preserve">RTOpacks DNS cutover + SSL.</w:t>
      </w:r>
    </w:p>
    <w:p>
      <w:pPr>
        <w:pStyle w:val="ListParagraph"/>
        <w:numPr>
          <w:ilvl w:val="0"/>
          <w:numId w:val="2"/>
        </w:numPr>
        <w:spacing w:after="40" w:before="40"/>
      </w:pPr>
      <w:r>
        <w:rPr>
          <w:rFonts w:ascii="Arial" w:cs="Arial" w:eastAsia="Arial" w:hAnsi="Arial"/>
          <w:sz w:val="22"/>
          <w:szCs w:val="22"/>
        </w:rPr>
        <w:t xml:space="preserve">Branch merge — feature/finance-page-mercury to main.</w:t>
      </w:r>
    </w:p>
    <w:p>
      <w:pPr>
        <w:pStyle w:val="ListParagraph"/>
        <w:numPr>
          <w:ilvl w:val="0"/>
          <w:numId w:val="2"/>
        </w:numPr>
        <w:spacing w:after="40" w:before="40"/>
      </w:pPr>
      <w:r>
        <w:rPr>
          <w:rFonts w:ascii="Arial" w:cs="Arial" w:eastAsia="Arial" w:hAnsi="Arial"/>
          <w:sz w:val="22"/>
          <w:szCs w:val="22"/>
        </w:rPr>
        <w:t xml:space="preserve">Mobile breakpoints — ucca.online 480px + 360px.</w:t>
      </w:r>
    </w:p>
    <w:p>
      <w:pPr>
        <w:pStyle w:val="ListParagraph"/>
        <w:numPr>
          <w:ilvl w:val="0"/>
          <w:numId w:val="2"/>
        </w:numPr>
        <w:spacing w:after="40" w:before="40"/>
      </w:pPr>
      <w:r>
        <w:rPr>
          <w:rFonts w:ascii="Arial" w:cs="Arial" w:eastAsia="Arial" w:hAnsi="Arial"/>
          <w:sz w:val="22"/>
          <w:szCs w:val="22"/>
        </w:rPr>
        <w:t xml:space="preserve">DMARC hardening across all zones.</w:t>
      </w:r>
    </w:p>
    <w:p>
      <w:pPr>
        <w:spacing w:after="60" w:before="60"/>
      </w:pPr>
    </w:p>
    <w:p>
      <w:pPr>
        <w:pStyle w:val="Heading2"/>
        <w:spacing w:after="80" w:before="280"/>
      </w:pPr>
      <w:r>
        <w:rPr>
          <w:rFonts w:ascii="Arial" w:cs="Arial" w:eastAsia="Arial" w:hAnsi="Arial"/>
          <w:b/>
          <w:bCs/>
          <w:color w:val="1B3A6B"/>
          <w:sz w:val="26"/>
          <w:szCs w:val="26"/>
        </w:rPr>
        <w:t xml:space="preserve">R&amp;D — Background (No Briefs, No Code)</w:t>
      </w:r>
    </w:p>
    <w:p>
      <w:pPr>
        <w:pStyle w:val="ListParagraph"/>
        <w:numPr>
          <w:ilvl w:val="0"/>
          <w:numId w:val="3"/>
        </w:numPr>
        <w:spacing w:after="40" w:before="40"/>
      </w:pPr>
      <w:r>
        <w:rPr>
          <w:rFonts w:ascii="Arial" w:cs="Arial" w:eastAsia="Arial" w:hAnsi="Arial"/>
          <w:sz w:val="22"/>
          <w:szCs w:val="22"/>
        </w:rPr>
        <w:t xml:space="preserve">Read W3C VC Data Model v2.0 spec — map a TGA unit to credentialSubject schema</w:t>
      </w:r>
    </w:p>
    <w:p>
      <w:pPr>
        <w:pStyle w:val="ListParagraph"/>
        <w:numPr>
          <w:ilvl w:val="0"/>
          <w:numId w:val="3"/>
        </w:numPr>
        <w:spacing w:after="40" w:before="40"/>
      </w:pPr>
      <w:r>
        <w:rPr>
          <w:rFonts w:ascii="Arial" w:cs="Arial" w:eastAsia="Arial" w:hAnsi="Arial"/>
          <w:sz w:val="22"/>
          <w:szCs w:val="22"/>
        </w:rPr>
        <w:t xml:space="preserve">Read OpenID4VCI + OpenID4VP — understand what a UCCA DID issuer looks like</w:t>
      </w:r>
    </w:p>
    <w:p>
      <w:pPr>
        <w:pStyle w:val="ListParagraph"/>
        <w:numPr>
          <w:ilvl w:val="0"/>
          <w:numId w:val="3"/>
        </w:numPr>
        <w:spacing w:after="40" w:before="40"/>
      </w:pPr>
      <w:r>
        <w:rPr>
          <w:rFonts w:ascii="Arial" w:cs="Arial" w:eastAsia="Arial" w:hAnsi="Arial"/>
          <w:sz w:val="22"/>
          <w:szCs w:val="22"/>
        </w:rPr>
        <w:t xml:space="preserve">Read NIST AI Agent Standards Initiative outputs — map UCCA trust levels to NIST framework</w:t>
      </w:r>
    </w:p>
    <w:p>
      <w:pPr>
        <w:pStyle w:val="ListParagraph"/>
        <w:numPr>
          <w:ilvl w:val="0"/>
          <w:numId w:val="3"/>
        </w:numPr>
        <w:spacing w:after="40" w:before="40"/>
      </w:pPr>
      <w:r>
        <w:rPr>
          <w:rFonts w:ascii="Arial" w:cs="Arial" w:eastAsia="Arial" w:hAnsi="Arial"/>
          <w:sz w:val="22"/>
          <w:szCs w:val="22"/>
        </w:rPr>
        <w:t xml:space="preserve">Sketch: what does the UCCO input spec look like as a formal document? (ASQA rules framing, not VC schema framing)</w:t>
      </w:r>
    </w:p>
    <w:p>
      <w:pPr>
        <w:spacing w:after="60" w:before="60"/>
      </w:pPr>
    </w:p>
    <w:p>
      <w:pPr>
        <w:pStyle w:val="Heading1"/>
        <w:spacing w:after="120" w:before="360"/>
      </w:pPr>
      <w:r>
        <w:rPr>
          <w:rFonts w:ascii="Arial" w:cs="Arial" w:eastAsia="Arial" w:hAnsi="Arial"/>
          <w:b/>
          <w:bCs/>
          <w:color w:val="1B3A6B"/>
          <w:sz w:val="32"/>
          <w:szCs w:val="32"/>
        </w:rPr>
        <w:t xml:space="preserve">6. Key Decisions This Session</w:t>
      </w:r>
    </w:p>
    <w:p>
      <w:pPr>
        <w:pBdr>
          <w:bottom w:val="single" w:color="1B3A6B" w:sz="4" w:space="1"/>
        </w:pBdr>
        <w:spacing w:after="120" w:before="120"/>
      </w:pPr>
    </w:p>
    <w:p>
      <w:pPr>
        <w:pStyle w:val="ListParagraph"/>
        <w:numPr>
          <w:ilvl w:val="0"/>
          <w:numId w:val="2"/>
        </w:numPr>
        <w:spacing w:after="40" w:before="40"/>
      </w:pPr>
      <w:r>
        <w:rPr>
          <w:rFonts w:ascii="Arial" w:cs="Arial" w:eastAsia="Arial" w:hAnsi="Arial"/>
          <w:sz w:val="22"/>
          <w:szCs w:val="22"/>
        </w:rPr>
        <w:t xml:space="preserve">UCCO is the framework — the VET Quality Framework equivalent for AI-delivered competency assessment. Not a cryptographic infrastructure. Not a fundraising vehicle. The rules.</w:t>
      </w:r>
    </w:p>
    <w:p>
      <w:pPr>
        <w:pStyle w:val="ListParagraph"/>
        <w:numPr>
          <w:ilvl w:val="0"/>
          <w:numId w:val="2"/>
        </w:numPr>
        <w:spacing w:after="40" w:before="40"/>
      </w:pPr>
      <w:r>
        <w:rPr>
          <w:rFonts w:ascii="Arial" w:cs="Arial" w:eastAsia="Arial" w:hAnsi="Arial"/>
          <w:sz w:val="22"/>
          <w:szCs w:val="22"/>
        </w:rPr>
        <w:t xml:space="preserve">UCCA is the engine that implements the UCCO framework commercially. These are two different things with two different purposes.</w:t>
      </w:r>
    </w:p>
    <w:p>
      <w:pPr>
        <w:pStyle w:val="ListParagraph"/>
        <w:numPr>
          <w:ilvl w:val="0"/>
          <w:numId w:val="2"/>
        </w:numPr>
        <w:spacing w:after="40" w:before="40"/>
      </w:pPr>
      <w:r>
        <w:rPr>
          <w:rFonts w:ascii="Arial" w:cs="Arial" w:eastAsia="Arial" w:hAnsi="Arial"/>
          <w:sz w:val="22"/>
          <w:szCs w:val="22"/>
        </w:rPr>
        <w:t xml:space="preserve">The TGA corpus is Product #1, not the engine itself. The engine is corpus-agnostic by design (Session 11 refactor confirmed this).</w:t>
      </w:r>
    </w:p>
    <w:p>
      <w:pPr>
        <w:pStyle w:val="ListParagraph"/>
        <w:numPr>
          <w:ilvl w:val="0"/>
          <w:numId w:val="2"/>
        </w:numPr>
        <w:spacing w:after="40" w:before="40"/>
      </w:pPr>
      <w:r>
        <w:rPr>
          <w:rFonts w:ascii="Arial" w:cs="Arial" w:eastAsia="Arial" w:hAnsi="Arial"/>
          <w:sz w:val="22"/>
          <w:szCs w:val="22"/>
        </w:rPr>
        <w:t xml:space="preserve">Three commercial models confirmed: corpus-as-product, pack-and-return, schema licensing (future).</w:t>
      </w:r>
    </w:p>
    <w:p>
      <w:pPr>
        <w:pStyle w:val="ListParagraph"/>
        <w:numPr>
          <w:ilvl w:val="0"/>
          <w:numId w:val="2"/>
        </w:numPr>
        <w:spacing w:after="40" w:before="40"/>
      </w:pPr>
      <w:r>
        <w:rPr>
          <w:rFonts w:ascii="Arial" w:cs="Arial" w:eastAsia="Arial" w:hAnsi="Arial"/>
          <w:sz w:val="22"/>
          <w:szCs w:val="22"/>
        </w:rPr>
        <w:t xml:space="preserve">Four ecosystem participants: UCCO, UCCA, Combiners, Relying Parties.</w:t>
      </w:r>
    </w:p>
    <w:p>
      <w:pPr>
        <w:pStyle w:val="ListParagraph"/>
        <w:numPr>
          <w:ilvl w:val="0"/>
          <w:numId w:val="2"/>
        </w:numPr>
        <w:spacing w:after="40" w:before="40"/>
      </w:pPr>
      <w:r>
        <w:rPr>
          <w:rFonts w:ascii="Arial" w:cs="Arial" w:eastAsia="Arial" w:hAnsi="Arial"/>
          <w:sz w:val="22"/>
          <w:szCs w:val="22"/>
        </w:rPr>
        <w:t xml:space="preserve">Combiners may bring proprietary overlay corpora. Their corpus is a commercial asset. The engine handles base + overlay in one pack run.</w:t>
      </w:r>
    </w:p>
    <w:p>
      <w:pPr>
        <w:pStyle w:val="ListParagraph"/>
        <w:numPr>
          <w:ilvl w:val="0"/>
          <w:numId w:val="2"/>
        </w:numPr>
        <w:spacing w:after="40" w:before="40"/>
      </w:pPr>
      <w:r>
        <w:rPr>
          <w:rFonts w:ascii="Arial" w:cs="Arial" w:eastAsia="Arial" w:hAnsi="Arial"/>
          <w:sz w:val="22"/>
          <w:szCs w:val="22"/>
        </w:rPr>
        <w:t xml:space="preserve">The accredited course parallel is exact: ASQA accredits courses that fill skill gaps. UCCO accredits corpora. Regulators already understand this model.</w:t>
      </w:r>
    </w:p>
    <w:p>
      <w:pPr>
        <w:pStyle w:val="ListParagraph"/>
        <w:numPr>
          <w:ilvl w:val="0"/>
          <w:numId w:val="2"/>
        </w:numPr>
        <w:spacing w:after="40" w:before="40"/>
      </w:pPr>
      <w:r>
        <w:rPr>
          <w:rFonts w:ascii="Arial" w:cs="Arial" w:eastAsia="Arial" w:hAnsi="Arial"/>
          <w:sz w:val="22"/>
          <w:szCs w:val="22"/>
        </w:rPr>
        <w:t xml:space="preserve">UCCO Foundation suspension confirmed correct and appropriate. Restarts post-revenue with honest scope.</w:t>
      </w:r>
    </w:p>
    <w:p>
      <w:pPr>
        <w:pStyle w:val="ListParagraph"/>
        <w:numPr>
          <w:ilvl w:val="0"/>
          <w:numId w:val="2"/>
        </w:numPr>
        <w:spacing w:after="40" w:before="40"/>
      </w:pPr>
      <w:r>
        <w:rPr>
          <w:rFonts w:ascii="Arial" w:cs="Arial" w:eastAsia="Arial" w:hAnsi="Arial"/>
          <w:sz w:val="22"/>
          <w:szCs w:val="22"/>
        </w:rPr>
        <w:t xml:space="preserve">Brief #19 contact form: D1 is writing (4 contacts confirmed). Bug is notification delivery, not the pipeline.</w:t>
      </w:r>
    </w:p>
    <w:p>
      <w:pPr>
        <w:pStyle w:val="ListParagraph"/>
        <w:numPr>
          <w:ilvl w:val="0"/>
          <w:numId w:val="2"/>
        </w:numPr>
        <w:spacing w:after="40" w:before="40"/>
      </w:pPr>
      <w:r>
        <w:rPr>
          <w:rFonts w:ascii="Arial" w:cs="Arial" w:eastAsia="Arial" w:hAnsi="Arial"/>
          <w:sz w:val="22"/>
          <w:szCs w:val="22"/>
        </w:rPr>
        <w:t xml:space="preserve">RTOpacks is still the money engine. Everything serves it or waits.</w:t>
      </w:r>
    </w:p>
    <w:p>
      <w:pPr>
        <w:spacing w:after="60" w:before="60"/>
      </w:pPr>
    </w:p>
    <w:p>
      <w:pPr>
        <w:pStyle w:val="Heading1"/>
        <w:spacing w:after="120" w:before="360"/>
      </w:pPr>
      <w:r>
        <w:rPr>
          <w:rFonts w:ascii="Arial" w:cs="Arial" w:eastAsia="Arial" w:hAnsi="Arial"/>
          <w:b/>
          <w:bCs/>
          <w:color w:val="1B3A6B"/>
          <w:sz w:val="32"/>
          <w:szCs w:val="32"/>
        </w:rPr>
        <w:t xml:space="preserve">7. Credentials and Infrastructure</w:t>
      </w:r>
    </w:p>
    <w:p>
      <w:pPr>
        <w:pBdr>
          <w:bottom w:val="single" w:color="1B3A6B" w:sz="4" w:space="1"/>
        </w:pBdr>
        <w:spacing w:after="120" w:before="120"/>
      </w:pPr>
    </w:p>
    <w:p>
      <w:pPr>
        <w:spacing w:after="80" w:before="80"/>
      </w:pPr>
      <w:r>
        <w:rPr>
          <w:rFonts w:ascii="Arial" w:cs="Arial" w:eastAsia="Arial" w:hAnsi="Arial"/>
          <w:sz w:val="22"/>
          <w:szCs w:val="22"/>
        </w:rPr>
        <w:t xml:space="preserve">No new infrastructure this session. All credentials unchanged from Session 12 Time Machine.</w:t>
      </w:r>
    </w:p>
    <w:p>
      <w:pPr>
        <w:spacing w:after="60" w:before="60"/>
      </w:pPr>
    </w:p>
    <w:p>
      <w:pPr>
        <w:pStyle w:val="ListParagraph"/>
        <w:numPr>
          <w:ilvl w:val="0"/>
          <w:numId w:val="3"/>
        </w:numPr>
        <w:spacing w:after="40" w:before="40"/>
      </w:pPr>
      <w:r>
        <w:rPr>
          <w:rFonts w:ascii="Arial" w:cs="Arial" w:eastAsia="Arial" w:hAnsi="Arial"/>
          <w:sz w:val="22"/>
          <w:szCs w:val="22"/>
        </w:rPr>
        <w:t xml:space="preserve">Cloudflare MCP: account e5a9830215a8d88961dc6c80a8c7442a. Call set_active_account before any Cloudflare tool calls.</w:t>
      </w:r>
    </w:p>
    <w:p>
      <w:pPr>
        <w:pStyle w:val="ListParagraph"/>
        <w:numPr>
          <w:ilvl w:val="0"/>
          <w:numId w:val="3"/>
        </w:numPr>
        <w:spacing w:after="40" w:before="40"/>
      </w:pPr>
      <w:r>
        <w:rPr>
          <w:rFonts w:ascii="Arial" w:cs="Arial" w:eastAsia="Arial" w:hAnsi="Arial"/>
          <w:sz w:val="22"/>
          <w:szCs w:val="22"/>
        </w:rPr>
        <w:t xml:space="preserve">engine-db (D1): 0efa8970-0053-4623-8436-4e877af10887. contacts table has 4 rows. email_sent + sms_sent confirmed writing.</w:t>
      </w:r>
    </w:p>
    <w:p>
      <w:pPr>
        <w:pStyle w:val="ListParagraph"/>
        <w:numPr>
          <w:ilvl w:val="0"/>
          <w:numId w:val="3"/>
        </w:numPr>
        <w:spacing w:after="40" w:before="40"/>
      </w:pPr>
      <w:r>
        <w:rPr>
          <w:rFonts w:ascii="Arial" w:cs="Arial" w:eastAsia="Arial" w:hAnsi="Arial"/>
          <w:sz w:val="22"/>
          <w:szCs w:val="22"/>
        </w:rPr>
        <w:t xml:space="preserve">Workers: ucca-ir (contact pipeline), ucca-api (form serving + comms), ucca-site (ucca.online), rtopacks-site, ucca-ops, ucca-keys, ucca-track.</w:t>
      </w:r>
    </w:p>
    <w:p>
      <w:pPr>
        <w:pStyle w:val="ListParagraph"/>
        <w:numPr>
          <w:ilvl w:val="0"/>
          <w:numId w:val="3"/>
        </w:numPr>
        <w:spacing w:after="40" w:before="40"/>
      </w:pPr>
      <w:r>
        <w:rPr>
          <w:rFonts w:ascii="Arial" w:cs="Arial" w:eastAsia="Arial" w:hAnsi="Arial"/>
          <w:sz w:val="22"/>
          <w:szCs w:val="22"/>
        </w:rPr>
        <w:t xml:space="preserve">Git: feature/finance-page-mercury — 9 commits ahead of main. Production deploying from feature branch. Merge pending.</w:t>
      </w:r>
    </w:p>
    <w:p>
      <w:pPr>
        <w:spacing w:after="60" w:before="60"/>
      </w:pPr>
    </w:p>
    <w:p>
      <w:pPr>
        <w:pStyle w:val="Heading1"/>
        <w:spacing w:after="120" w:before="360"/>
      </w:pPr>
      <w:r>
        <w:rPr>
          <w:rFonts w:ascii="Arial" w:cs="Arial" w:eastAsia="Arial" w:hAnsi="Arial"/>
          <w:b/>
          <w:bCs/>
          <w:color w:val="1B3A6B"/>
          <w:sz w:val="32"/>
          <w:szCs w:val="32"/>
        </w:rPr>
        <w:t xml:space="preserve">8. Operating Rules</w:t>
      </w:r>
    </w:p>
    <w:p>
      <w:pPr>
        <w:pBdr>
          <w:bottom w:val="single" w:color="1B3A6B" w:sz="4" w:space="1"/>
        </w:pBdr>
        <w:spacing w:after="120" w:before="120"/>
      </w:pPr>
    </w:p>
    <w:p>
      <w:pPr>
        <w:spacing w:after="80" w:before="80"/>
      </w:pPr>
      <w:r>
        <w:rPr>
          <w:rFonts w:ascii="Arial" w:cs="Arial" w:eastAsia="Arial" w:hAnsi="Arial"/>
          <w:sz w:val="22"/>
          <w:szCs w:val="22"/>
        </w:rPr>
        <w:t xml:space="preserve">All rules unchanged from Session 12. Additions from this session:</w:t>
      </w:r>
    </w:p>
    <w:p>
      <w:pPr>
        <w:spacing w:after="60" w:before="60"/>
      </w:pPr>
    </w:p>
    <w:p>
      <w:pPr>
        <w:pStyle w:val="ListParagraph"/>
        <w:numPr>
          <w:ilvl w:val="0"/>
          <w:numId w:val="3"/>
        </w:numPr>
        <w:spacing w:after="40" w:before="40"/>
      </w:pPr>
      <w:r>
        <w:rPr>
          <w:rFonts w:ascii="Arial" w:cs="Arial" w:eastAsia="Arial" w:hAnsi="Arial"/>
          <w:sz w:val="22"/>
          <w:szCs w:val="22"/>
        </w:rPr>
        <w:t xml:space="preserve">ASQA FRAMING RULE: When explaining UCCO to anyone — investor, regulator, partner — lead with the ASQA analogy. ASQA didn't write courses. UCCO doesn't write corpora. UCCO writes the rules that make corpora valid for AI delivery and assessment.</w:t>
      </w:r>
    </w:p>
    <w:p>
      <w:pPr>
        <w:pStyle w:val="ListParagraph"/>
        <w:numPr>
          <w:ilvl w:val="0"/>
          <w:numId w:val="3"/>
        </w:numPr>
        <w:spacing w:after="40" w:before="40"/>
      </w:pPr>
      <w:r>
        <w:rPr>
          <w:rFonts w:ascii="Arial" w:cs="Arial" w:eastAsia="Arial" w:hAnsi="Arial"/>
          <w:sz w:val="22"/>
          <w:szCs w:val="22"/>
        </w:rPr>
        <w:t xml:space="preserve">BUS RULE: UCCO is the bus. Any product or feature decision that doesn't contribute to the bus is a distraction. Ask: does this make the bus more reliable, more trustworthy, or more widely adopted?</w:t>
      </w:r>
    </w:p>
    <w:p>
      <w:pPr>
        <w:pStyle w:val="ListParagraph"/>
        <w:numPr>
          <w:ilvl w:val="0"/>
          <w:numId w:val="3"/>
        </w:numPr>
        <w:spacing w:after="40" w:before="40"/>
      </w:pPr>
      <w:r>
        <w:rPr>
          <w:rFonts w:ascii="Arial" w:cs="Arial" w:eastAsia="Arial" w:hAnsi="Arial"/>
          <w:sz w:val="22"/>
          <w:szCs w:val="22"/>
        </w:rPr>
        <w:t xml:space="preserve">CORPUS-AGNOSTIC RULE: Never describe the engine as TGA-only. The TGA corpus is Product #1. The engine processes any compliant corpus. These are different claims.</w:t>
      </w:r>
    </w:p>
    <w:p>
      <w:pPr>
        <w:pStyle w:val="ListParagraph"/>
        <w:numPr>
          <w:ilvl w:val="0"/>
          <w:numId w:val="3"/>
        </w:numPr>
        <w:spacing w:after="40" w:before="40"/>
      </w:pPr>
      <w:r>
        <w:rPr>
          <w:rFonts w:ascii="Arial" w:cs="Arial" w:eastAsia="Arial" w:hAnsi="Arial"/>
          <w:sz w:val="22"/>
          <w:szCs w:val="22"/>
        </w:rPr>
        <w:t xml:space="preserve">FOUNDATION PARK RULE: Unchanged. No foundation work until UCCA generates revenue.</w:t>
      </w:r>
    </w:p>
    <w:p>
      <w:pPr>
        <w:pStyle w:val="ListParagraph"/>
        <w:numPr>
          <w:ilvl w:val="0"/>
          <w:numId w:val="3"/>
        </w:numPr>
        <w:spacing w:after="40" w:before="40"/>
      </w:pPr>
      <w:r>
        <w:rPr>
          <w:rFonts w:ascii="Arial" w:cs="Arial" w:eastAsia="Arial" w:hAnsi="Arial"/>
          <w:sz w:val="22"/>
          <w:szCs w:val="22"/>
        </w:rPr>
        <w:t xml:space="preserve">VC R&amp;D RULE: Unchanged. Background reading only. No briefs, no code until RTOpacks ships.</w:t>
      </w:r>
    </w:p>
    <w:p>
      <w:pPr>
        <w:spacing w:after="60" w:before="60"/>
      </w:pPr>
    </w:p>
    <w:p>
      <w:pPr>
        <w:spacing w:after="80" w:before="80"/>
      </w:pPr>
      <w:r>
        <w:rPr>
          <w:rFonts w:ascii="Arial" w:cs="Arial" w:eastAsia="Arial" w:hAnsi="Arial"/>
          <w:sz w:val="22"/>
          <w:szCs w:val="22"/>
        </w:rPr>
        <w:t xml:space="preserve">All other rules unchanged:</w:t>
      </w:r>
    </w:p>
    <w:p>
      <w:pPr>
        <w:pStyle w:val="ListParagraph"/>
        <w:numPr>
          <w:ilvl w:val="0"/>
          <w:numId w:val="3"/>
        </w:numPr>
        <w:spacing w:after="40" w:before="40"/>
      </w:pPr>
      <w:r>
        <w:rPr>
          <w:rFonts w:ascii="Arial" w:cs="Arial" w:eastAsia="Arial" w:hAnsi="Arial"/>
          <w:sz w:val="22"/>
          <w:szCs w:val="22"/>
        </w:rPr>
        <w:t xml:space="preserve">No time alerts for Tim. Never. Go go go.</w:t>
      </w:r>
    </w:p>
    <w:p>
      <w:pPr>
        <w:pStyle w:val="ListParagraph"/>
        <w:numPr>
          <w:ilvl w:val="0"/>
          <w:numId w:val="3"/>
        </w:numPr>
        <w:spacing w:after="40" w:before="40"/>
      </w:pPr>
      <w:r>
        <w:rPr>
          <w:rFonts w:ascii="Arial" w:cs="Arial" w:eastAsia="Arial" w:hAnsi="Arial"/>
          <w:sz w:val="22"/>
          <w:szCs w:val="22"/>
        </w:rPr>
        <w:t xml:space="preserve">Every 10 messages: check context length. YELLOW = warn. RED = write Time Machine immediately.</w:t>
      </w:r>
    </w:p>
    <w:p>
      <w:pPr>
        <w:pStyle w:val="ListParagraph"/>
        <w:numPr>
          <w:ilvl w:val="0"/>
          <w:numId w:val="3"/>
        </w:numPr>
        <w:spacing w:after="40" w:before="40"/>
      </w:pPr>
      <w:r>
        <w:rPr>
          <w:rFonts w:ascii="Arial" w:cs="Arial" w:eastAsia="Arial" w:hAnsi="Arial"/>
          <w:sz w:val="22"/>
          <w:szCs w:val="22"/>
        </w:rPr>
        <w:t xml:space="preserve">Every Alex brief: SURFACE declaration + DO NOT TOUCH list + CF account ID.</w:t>
      </w:r>
    </w:p>
    <w:p>
      <w:pPr>
        <w:pStyle w:val="ListParagraph"/>
        <w:numPr>
          <w:ilvl w:val="0"/>
          <w:numId w:val="3"/>
        </w:numPr>
        <w:spacing w:after="40" w:before="40"/>
      </w:pPr>
      <w:r>
        <w:rPr>
          <w:rFonts w:ascii="Arial" w:cs="Arial" w:eastAsia="Arial" w:hAnsi="Arial"/>
          <w:sz w:val="22"/>
          <w:szCs w:val="22"/>
        </w:rPr>
        <w:t xml:space="preserve">Brief drip rule: one brief at a time. Confirm deployed before next drops.</w:t>
      </w:r>
    </w:p>
    <w:p>
      <w:pPr>
        <w:pStyle w:val="ListParagraph"/>
        <w:numPr>
          <w:ilvl w:val="0"/>
          <w:numId w:val="3"/>
        </w:numPr>
        <w:spacing w:after="40" w:before="40"/>
      </w:pPr>
      <w:r>
        <w:rPr>
          <w:rFonts w:ascii="Arial" w:cs="Arial" w:eastAsia="Arial" w:hAnsi="Arial"/>
          <w:sz w:val="22"/>
          <w:szCs w:val="22"/>
        </w:rPr>
        <w:t xml:space="preserve">OPS-AS-OS RULE: if it doesn't exist in ops.ucca.online, it doesn't exist.</w:t>
      </w:r>
    </w:p>
    <w:p>
      <w:pPr>
        <w:pStyle w:val="ListParagraph"/>
        <w:numPr>
          <w:ilvl w:val="0"/>
          <w:numId w:val="3"/>
        </w:numPr>
        <w:spacing w:after="40" w:before="40"/>
      </w:pPr>
      <w:r>
        <w:rPr>
          <w:rFonts w:ascii="Arial" w:cs="Arial" w:eastAsia="Arial" w:hAnsi="Arial"/>
          <w:sz w:val="22"/>
          <w:szCs w:val="22"/>
        </w:rPr>
        <w:t xml:space="preserve">Truth over comfort.</w:t>
      </w:r>
    </w:p>
    <w:p>
      <w:pPr>
        <w:pStyle w:val="ListParagraph"/>
        <w:numPr>
          <w:ilvl w:val="0"/>
          <w:numId w:val="3"/>
        </w:numPr>
        <w:spacing w:after="40" w:before="40"/>
      </w:pPr>
      <w:r>
        <w:rPr>
          <w:rFonts w:ascii="Arial" w:cs="Arial" w:eastAsia="Arial" w:hAnsi="Arial"/>
          <w:sz w:val="22"/>
          <w:szCs w:val="22"/>
        </w:rPr>
        <w:t xml:space="preserve">Two sections in every Alex brief: → ALEX and → TIM.</w:t>
      </w:r>
    </w:p>
    <w:p>
      <w:pPr>
        <w:spacing w:after="60" w:before="60"/>
      </w:pPr>
    </w:p>
    <w:p>
      <w:pPr>
        <w:pStyle w:val="Heading1"/>
        <w:spacing w:after="120" w:before="360"/>
      </w:pPr>
      <w:r>
        <w:rPr>
          <w:rFonts w:ascii="Arial" w:cs="Arial" w:eastAsia="Arial" w:hAnsi="Arial"/>
          <w:b/>
          <w:bCs/>
          <w:color w:val="1B3A6B"/>
          <w:sz w:val="32"/>
          <w:szCs w:val="32"/>
        </w:rPr>
        <w:t xml:space="preserve">9. The Big Picture</w:t>
      </w:r>
    </w:p>
    <w:p>
      <w:pPr>
        <w:pBdr>
          <w:bottom w:val="single" w:color="1B3A6B" w:sz="4" w:space="1"/>
        </w:pBdr>
        <w:spacing w:after="120" w:before="120"/>
      </w:pPr>
    </w:p>
    <w:p>
      <w:pPr>
        <w:spacing w:after="80" w:before="80"/>
      </w:pPr>
      <w:r>
        <w:rPr>
          <w:rFonts w:ascii="Arial" w:cs="Arial" w:eastAsia="Arial" w:hAnsi="Arial"/>
          <w:sz w:val="22"/>
          <w:szCs w:val="22"/>
        </w:rPr>
        <w:t xml:space="preserve">Session 13 was the session where the map finally matched the territory.</w:t>
      </w:r>
    </w:p>
    <w:p>
      <w:pPr>
        <w:spacing w:after="60" w:before="60"/>
      </w:pPr>
    </w:p>
    <w:p>
      <w:pPr>
        <w:spacing w:after="80" w:before="80"/>
      </w:pPr>
      <w:r>
        <w:rPr>
          <w:rFonts w:ascii="Arial" w:cs="Arial" w:eastAsia="Arial" w:hAnsi="Arial"/>
          <w:sz w:val="22"/>
          <w:szCs w:val="22"/>
        </w:rPr>
        <w:t xml:space="preserve">For twelve sessions we built the right thing without fully knowing what it was. The engine exists. The corpus exists. The infrastructure exists. The commercial pipeline works. But the framing kept reaching — for a foundation that was premature, for cryptographic infrastructure that W3C had already built, for a standard that was trying to do too much.</w:t>
      </w:r>
    </w:p>
    <w:p>
      <w:pPr>
        <w:spacing w:after="60" w:before="60"/>
      </w:pPr>
    </w:p>
    <w:p>
      <w:pPr>
        <w:spacing w:after="80" w:before="80"/>
      </w:pPr>
      <w:r>
        <w:rPr>
          <w:rFonts w:ascii="Arial" w:cs="Arial" w:eastAsia="Arial" w:hAnsi="Arial"/>
          <w:sz w:val="22"/>
          <w:szCs w:val="22"/>
        </w:rPr>
        <w:t xml:space="preserve">Session 13 found the correct frame. UCCO is ASQA for the machine world. UCCA is the RTO that implements it commercially — except it is also the only RTO, the only packing machine, and the author of the standard. The TGA corpus gives it a 60-year head start on the only dataset that matters for AI agents operating in the physical world. The pack-and-return model means the engine's value is not limited to that corpus. The combiner model means the ecosystem builds itself.</w:t>
      </w:r>
    </w:p>
    <w:p>
      <w:pPr>
        <w:spacing w:after="60" w:before="60"/>
      </w:pPr>
    </w:p>
    <w:p>
      <w:pPr>
        <w:pBdr>
          <w:left w:val="single" w:color="1B3A6B" w:sz="12" w:space="8"/>
        </w:pBdr>
        <w:shd w:fill="F4F8FC" w:val="clear"/>
        <w:spacing w:after="120" w:before="120"/>
      </w:pPr>
      <w:r>
        <w:rPr>
          <w:rFonts w:ascii="Arial" w:cs="Arial" w:eastAsia="Arial" w:hAnsi="Arial"/>
          <w:i/>
          <w:iCs/>
          <w:sz w:val="22"/>
          <w:szCs w:val="22"/>
        </w:rPr>
        <w:t xml:space="preserve">The sticker on the bum of every robot starts with one RTO buying one course pack. The bus that carries it runs on UCCO. UCCA built the bus.</w:t>
      </w:r>
    </w:p>
    <w:p>
      <w:pPr>
        <w:spacing w:after="60" w:before="60"/>
      </w:pPr>
    </w:p>
    <w:p>
      <w:pPr>
        <w:pBdr>
          <w:bottom w:val="single" w:color="1B3A6B" w:sz="4" w:space="1"/>
        </w:pBdr>
        <w:spacing w:after="120" w:before="120"/>
      </w:pPr>
    </w:p>
    <w:p>
      <w:pPr>
        <w:spacing w:after="120" w:before="240"/>
        <w:jc w:val="center"/>
      </w:pPr>
      <w:r>
        <w:rPr>
          <w:rFonts w:ascii="Arial" w:cs="Arial" w:eastAsia="Arial" w:hAnsi="Arial"/>
          <w:i/>
          <w:iCs/>
          <w:color w:val="888888"/>
          <w:sz w:val="20"/>
          <w:szCs w:val="20"/>
        </w:rPr>
        <w:t xml:space="preserve">UCCA Inc  ·  Session 13  ·  17 March 2026</w:t>
      </w:r>
    </w:p>
    <w:p>
      <w:pPr>
        <w:spacing w:after="0" w:before="0"/>
        <w:jc w:val="center"/>
      </w:pPr>
      <w:r>
        <w:rPr>
          <w:rFonts w:ascii="Arial" w:cs="Arial" w:eastAsia="Arial" w:hAnsi="Arial"/>
          <w:i/>
          <w:iCs/>
          <w:color w:val="1B3A6B"/>
          <w:sz w:val="20"/>
          <w:szCs w:val="20"/>
        </w:rPr>
        <w:t xml:space="preserve">"UCCO is the bus. Trust travels on it."</w:t>
      </w:r>
    </w:p>
    <w:p>
      <w:pPr>
        <w:spacing w:after="0" w:before="80"/>
        <w:jc w:val="center"/>
      </w:pPr>
      <w:r>
        <w:rPr>
          <w:rFonts w:ascii="Arial" w:cs="Arial" w:eastAsia="Arial" w:hAnsi="Arial"/>
          <w:i/>
          <w:iCs/>
          <w:color w:val="AAAAAA"/>
          <w:sz w:val="18"/>
          <w:szCs w:val="18"/>
        </w:rPr>
        <w:t xml:space="preserve">"A schmoke and a pancake?" — Goldmember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3A6B"/>
      <w:sz w:val="32"/>
      <w:szCs w:val="32"/>
    </w:rPr>
  </w:style>
  <w:style w:type="paragraph" w:styleId="Heading2">
    <w:name w:val="Heading 2"/>
    <w:basedOn w:val="Normal"/>
    <w:next w:val="Normal"/>
    <w:qFormat/>
    <w:pPr>
      <w:spacing w:after="80" w:before="280"/>
      <w:outlineLvl w:val="1"/>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2026-03-17T04:04:14.425Z</dcterms:created>
  <dcterms:modified xsi:type="dcterms:W3CDTF">2026-03-17T04:04:14.427Z</dcterms:modified>
</cp:coreProperties>
</file>

<file path=docProps/custom.xml><?xml version="1.0" encoding="utf-8"?>
<Properties xmlns="http://schemas.openxmlformats.org/officeDocument/2006/custom-properties" xmlns:vt="http://schemas.openxmlformats.org/officeDocument/2006/docPropsVTypes"/>
</file>