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600"/>
              <w:left w:type="dxa" w:w="720"/>
              <w:bottom w:type="dxa" w:w="600"/>
              <w:right w:type="dxa" w:w="720"/>
            </w:tcMar>
          </w:tcPr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⏱ TIME MACHINE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9AAABB"/>
                <w:sz w:val="26"/>
                <w:szCs w:val="26"/>
              </w:rPr>
              <w:t xml:space="preserve">UCCA Build Session Handover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667788"/>
                <w:sz w:val="20"/>
                <w:szCs w:val="20"/>
              </w:rPr>
              <w:t xml:space="preserve">13 March 2026  —  End of session snapshot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9AAABB"/>
                <w:sz w:val="18"/>
                <w:szCs w:val="18"/>
              </w:rPr>
              <w:t xml:space="preserve">Paste this document as your first message in the next Claude session.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⚠️ HOW TO USE: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Open a new Claude conversation. Paste the full text of this document as your first message. Claude will reconstruct full context and you can continue exactly where you left off.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 — WHO WE ARE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Founder / CEO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 Rignold — Brisbane, Australia. Works from garage on Mac Mini.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Developer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Alex — Claude Code in terminal. Executes all builds.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Architect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Claude (you) — strategy, architecture, briefs, product thinking.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Partner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Jimmy — key collaborator, international partner, NYC.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 AU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United Central Colleges of Australia Pty Ltd · ABN 59 168 872 535 · 149 Wickham Tce Spring Hill QLD 4000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 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 Inc (DBA: Universal Capability Certification Authority) · 1207 Delaware Ave #1678, Wilmington DE 19806 · Delaware C-Corp · DE File No. 7824354 · EIN 84-4522608 · D-U-N-S 119-199-377 · USPTO Reg. No. 7,619,705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Apple Developer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 ID: B29TSCBPHD · Entity: UCCA Inc · Renewal: March 2 2027 · Name change submitted March 13 — resolves ~March 27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 — THE AXIOM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400"/>
              <w:left w:type="dxa" w:w="720"/>
              <w:bottom w:type="dxa" w:w="400"/>
              <w:right w:type="dxa" w:w="720"/>
            </w:tcMar>
          </w:tcPr>
          <w:p>
            <w:pPr>
              <w:spacing w:after="16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32"/>
                <w:szCs w:val="32"/>
              </w:rPr>
              <w:t xml:space="preserve">If you touch, we will know.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system stores UTC. The chain is immutable.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Transliteration is a courtesy — it changes your lens, not the record.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Architecture Principles document: UCCA-Architecture-Principles-v1.docx — canonical reference. Every brief, every surface, every decision references this document. Seven sections: Interaction Model, Time, Data Architecture, User Preferences, The Engine, Surfaces, Glossary.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 — INFRASTRUCTURE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Cloudflare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Account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e5a9830215a8d88961dc6c80a8c7442a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engine-db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0efa8970-0053-4623-8436-4e877af10887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ops-db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00daba3d-2d65-4ae2-b85a-e56d25ec2b02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rtopacks-db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334ac8fb-9850-48c0-9da0-b56c55640e98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R2 Terraform state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ucca-terraform-state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MCP connector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Live — Claude can directly query Workers, KV, D1, R2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Workers / Surfaces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Worker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Domain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Responsibility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Public marketing. 7 locales. Contact form.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ucca-ir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ir.ucca.online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Investor registration pipeline. English only.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api.ucca.online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Backend API. Push, comms, chain events.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ucca-keys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keys.ucca.online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Chain ledger. K2 delivery. Trust levels. The FDR.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ucca-ops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ops.ucca.online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Ops console. Command Centre. All world blocks.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ucca-engine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engine (internal)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Corpus-agnostic competency engine. TGA adapter.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rtopacks-site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rtopacks.com.au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RTOpacks product. Strict isolation.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 stub — pending Phase 1 brief.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Proxy Workers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Drive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https://drive-proxy.round-union-555d.workers.dev/364a68815eedb023da3038e0b942ebcc/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Docs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https://docs-proxy.round-union-555d.workers.dev/ucca-docs-w9zweudo02aocz74/{path}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Knowledge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https://knowledge-proxy.round-union-555d.workers.dev/ucca-know-732499f9d740c605/{path}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GitHub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Org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uccaonline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PAT 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ucca-engine-push — ALL REPOSITORIES — auth via macOS Keychain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⚠️ URGENT: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GitHub PAT ucca-engine-push expires March 26 2026 — 13 days. Renew before this date or all pushes will fail.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⚠️ URGENT: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ucca.com.au (VentraIP) + ucca.asia (Porkbun) expire March 24 2026 — 11 days. Registrant fix needed, ABN 59 168 872 535.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⚠️ NOTE: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entity name change submitted March 13 — 14-day window — resolves ~March 27.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 — BUILD BOARD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Swim Lane 1 — Alex (Active Builds)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180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IR-Brief-PushNotifications-v3 Phases 1–5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Push infra live on ucca-api. engine-db tables: device_tokens, otp_codes, push_log.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IR-Brief-ContactFormI18n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7 locales: en, fr, de, ja, ko, zh-TW, vi. German flagged for human copywriter.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UCCA-Brief-SplitBoardBorderRegression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CSS restored. All three properties on outermost container.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IR-Brief-PushNotifications-v3 Phase 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Expo scaffold. GoogleService-Info.plist + google-services.json in repo + .credentials/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OPS-Brief-AppsWorldBlock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8 nav items live. push_log table. launch_checklist table in ops-db. All proxy routes.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🔄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COMMS-Brief-A-Foundation-v2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 PROGRESS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CURRENT brief with Alex. Hand now if not already done.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COMMS-Brief-B-CommsCentral-v2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BLOCKED — do not hand until Brief A deployed + comms_log receiving live webhook events.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Swim Lane 2 — Architecture (Tim + Claude)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180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Item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UCCA-Architecture-Principles-v1.docx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Canonical reference. Hand to Alex now as background reading.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R2 Envelope + Event Sourcing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NEXT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Dual-write architecture. Manifest file. Scheduled sync Worker. DO in scope.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User Prefs Settings panel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Timezone picker, theme toggle, layout prefs in ops console.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 surface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vcc.ucca.online stub + CF zone + CF Access + ops world block.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App Store submission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Blocked — wait for Apple entity name change resolved (~March 27).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 — ARCHITECTURE DECISIONS MADE THIS SESSION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These are locked. Do not relitigate without strong reason.</w:t>
      </w:r>
    </w:p>
    <w:p>
      <w:r>
        <w:t xml:space="preserve"/>
      </w:r>
    </w:p>
    <w:p>
      <w:pPr>
        <w:pStyle w:val="Heading2"/>
      </w:pPr>
      <w:r>
        <w:t xml:space="preserve">Interaction Model — Three Tiers</w:t>
      </w:r>
    </w:p>
    <w:p>
      <w:r>
        <w:rPr>
          <w:rFonts w:ascii="Arial" w:cs="Arial" w:eastAsia="Arial" w:hAnsi="Arial"/>
          <w:sz w:val="20"/>
          <w:szCs w:val="20"/>
        </w:rPr>
        <w:t xml:space="preserve">READ = Observe (no record). ACCESS = Touch (chain_accessed logged, informational). WRITE = Actuate (full chain event, cryptographic node, immutable). This is the FDR analogy — you can look at all the instruments, touch a button without consequence, but move the yoke and the recorder writes.</w:t>
      </w:r>
    </w:p>
    <w:p>
      <w:r>
        <w:t xml:space="preserve"/>
      </w:r>
    </w:p>
    <w:p>
      <w:pPr>
        <w:pStyle w:val="Heading2"/>
      </w:pPr>
      <w:r>
        <w:t xml:space="preserve">UTC Immutability</w:t>
      </w:r>
    </w:p>
    <w:p>
      <w:r>
        <w:rPr>
          <w:rFonts w:ascii="Arial" w:cs="Arial" w:eastAsia="Arial" w:hAnsi="Arial"/>
          <w:sz w:val="20"/>
          <w:szCs w:val="20"/>
        </w:rPr>
        <w:t xml:space="preserve">All storage in UTC always. user_prefs.timezone loaded at session start. toUserLocal() is the ONE timezone function — used everywhere, never hardcoded. caller_local_time in comms is a derived display value from E.164 prefix, not a stored preference. Stored record never adjusted.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0D0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function toUserLocal(utcString, userTimezone, opts = {})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return new Intl.DateTimeFormat('en',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timeZone: userTimezone,  // from user_prefs.timezone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dateStyle: opts.dateOnly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timeStyle: opts.timeOnly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...(!opts.dateOnly &amp;&amp; !opts.timeOnly ? { dateStyle: 'short', timeStyle: 'short' } : {})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}).format(new Date(utcString));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Event Sourcing + CQRS</w:t>
      </w:r>
    </w:p>
    <w:p>
      <w:r>
        <w:rPr>
          <w:rFonts w:ascii="Arial" w:cs="Arial" w:eastAsia="Arial" w:hAnsi="Arial"/>
          <w:sz w:val="20"/>
          <w:szCs w:val="20"/>
        </w:rPr>
        <w:t xml:space="preserve">D1 = fast queryable projection (CQRS read path). R2 = immutable vault (source of truth). appendChainEvent() = command path, writes to immutable ledger only. All queries read from D1 projection, never touch the chain directly.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Sync cadence: k2_delivered, record_verified, trust_level_assigned, contact_registered, k2_reissued → D1 + R2 synchronous dual-write. chain_accessed, document_viewed → D1 immediate, R2 nightly batch.</w:t>
      </w:r>
    </w:p>
    <w:p>
      <w:r>
        <w:t xml:space="preserve"/>
      </w:r>
    </w:p>
    <w:p>
      <w:pPr>
        <w:pStyle w:val="Heading2"/>
      </w:pPr>
      <w:r>
        <w:t xml:space="preserve">User Envelope (R2)</w:t>
      </w:r>
    </w:p>
    <w:p>
      <w:r>
        <w:rPr>
          <w:rFonts w:ascii="Arial" w:cs="Arial" w:eastAsia="Arial" w:hAnsi="Arial"/>
          <w:sz w:val="20"/>
          <w:szCs w:val="20"/>
        </w:rPr>
        <w:t xml:space="preserve">Every contact: chains/{contact_hash}.json in R2. Self-verifying hash chain inside. SHA-256(parent_hash + event_type + timestamp + payload) per node. Portable proof — verifiable without UCCA infrastructure. GDPR export response.</w:t>
      </w:r>
    </w:p>
    <w:p>
      <w:r>
        <w:rPr>
          <w:rFonts w:ascii="Arial" w:cs="Arial" w:eastAsia="Arial" w:hAnsi="Arial"/>
          <w:sz w:val="20"/>
          <w:szCs w:val="20"/>
        </w:rPr>
        <w:t xml:space="preserve">chains/manifest.json = vault index, all envelopes, last sync, chain tip hashes.</w:t>
      </w:r>
    </w:p>
    <w:p>
      <w:r>
        <w:t xml:space="preserve"/>
      </w:r>
    </w:p>
    <w:p>
      <w:pPr>
        <w:pStyle w:val="Heading2"/>
      </w:pPr>
      <w:r>
        <w:t xml:space="preserve">User Prefs — Lens System</w:t>
      </w:r>
    </w:p>
    <w:p>
      <w:r>
        <w:rPr>
          <w:rFonts w:ascii="Arial" w:cs="Arial" w:eastAsia="Arial" w:hAnsi="Arial"/>
          <w:sz w:val="20"/>
          <w:szCs w:val="20"/>
        </w:rPr>
        <w:t xml:space="preserve">user_prefs table in ops-db. Columns: user_id, display_name, timezone (IANA), locale (BCP 47), theme, date_format, time_format, prefs_json (extensible JSON blob). Tim = Australia/Brisbane. Jimmy = America/New_York. prefs_json key naming: {surface}_default_{thing}, {surface}_show_{thing}, ui_movable_positions, ui_collapsed_panels.</w:t>
      </w:r>
    </w:p>
    <w:p>
      <w:r>
        <w:t xml:space="preserve"/>
      </w:r>
    </w:p>
    <w:p>
      <w:pPr>
        <w:pStyle w:val="Heading2"/>
      </w:pPr>
      <w:r>
        <w:t xml:space="preserve">Comms Architecture</w:t>
      </w:r>
    </w:p>
    <w:p>
      <w:r>
        <w:rPr>
          <w:rFonts w:ascii="Arial" w:cs="Arial" w:eastAsia="Arial" w:hAnsi="Arial"/>
          <w:sz w:val="20"/>
          <w:szCs w:val="20"/>
        </w:rPr>
        <w:t xml:space="preserve">comms_log is channel-agnostic. One table, all channels. Adding a channel = one adapter Worker. Comms Central never changes. Three new tables in ops-db: comms_log, comms_blocked, comms_flags.</w:t>
      </w:r>
    </w:p>
    <w:p>
      <w:r>
        <w:rPr>
          <w:rFonts w:ascii="Arial" w:cs="Arial" w:eastAsia="Arial" w:hAnsi="Arial"/>
          <w:sz w:val="20"/>
          <w:szCs w:val="20"/>
        </w:rPr>
        <w:t xml:space="preserve">NEVER auto-block. System raises flags only. Human reviews: Call back / Block / Dismiss.</w:t>
      </w:r>
    </w:p>
    <w:p>
      <w:r>
        <w:rPr>
          <w:rFonts w:ascii="Arial" w:cs="Arial" w:eastAsia="Arial" w:hAnsi="Arial"/>
          <w:sz w:val="20"/>
          <w:szCs w:val="20"/>
        </w:rPr>
        <w:t xml:space="preserve">Five flag rules: high_frequency, unsocial_hours, delivery_failure_cluster, unknown_caller_persistent, blocked_contact_attempting.</w:t>
      </w:r>
    </w:p>
    <w:p>
      <w:r>
        <w:t xml:space="preserve"/>
      </w:r>
    </w:p>
    <w:p>
      <w:pPr>
        <w:pStyle w:val="Heading2"/>
      </w:pPr>
      <w:r>
        <w:t xml:space="preserve">Surface Rule</w:t>
      </w:r>
    </w:p>
    <w:p>
      <w:r>
        <w:rPr>
          <w:rFonts w:ascii="Arial" w:cs="Arial" w:eastAsia="Arial" w:hAnsi="Arial"/>
          <w:sz w:val="20"/>
          <w:szCs w:val="20"/>
        </w:rPr>
        <w:t xml:space="preserve">Every Alex brief opens with: SURFACE: {worker} ({domain}) and DO NOT TOUCH: {all other surfaces}. No exceptions. Blast radius control.</w:t>
      </w:r>
    </w:p>
    <w:p>
      <w:r>
        <w:t xml:space="preserve"/>
      </w:r>
    </w:p>
    <w:p>
      <w:pPr>
        <w:pStyle w:val="Heading2"/>
      </w:pPr>
      <w:r>
        <w:t xml:space="preserve">React Native + Expo — Authenticator</w:t>
      </w:r>
    </w:p>
    <w:p>
      <w:r>
        <w:rPr>
          <w:rFonts w:ascii="Arial" w:cs="Arial" w:eastAsia="Arial" w:hAnsi="Arial"/>
          <w:sz w:val="20"/>
          <w:szCs w:val="20"/>
        </w:rPr>
        <w:t xml:space="preserve">One repo (ucca-authenticator), cross-platform iOS + Android. Bundle ID: online.ucca.authenticator. Team: B29TSCBPHD. Firebase project: ucca-authenticator. APNs key: BDRMM4PZB6. GoogleService-Info.plist (iOS) + google-services.json (Android) in repo + .credentials/, both gitignored. PWA Authenticator: PARKED — market skews 40+, native app is correct primary path.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 — COMMS CHANNEL ROSTER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880"/>
        <w:gridCol w:w="1440"/>
        <w:gridCol w:w="28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channel value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Market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Phase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twilio_sms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twilio_voice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resend_email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outbound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cf_email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inbound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CF Email Routing → Worker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whatsapp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Global enterprise, APAC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Twilio or Meta direct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Japan, Taiwan, Thailand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 — 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Jimmy's primary market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telegram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Tech, international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kakaotalk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KakaoTalk Business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signal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Govt-adjacent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Signal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Enterprise, defence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Microsoft Graph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viber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 Asia, E. Europe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Viber REST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facebook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Consumer, AU RTOs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Meta Messenger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naver_works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Korean enterprise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Naver Works API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Registry colour system (everywhere in Comms Central):</w:t>
      </w:r>
    </w:p>
    <w:p>
      <w:r>
        <w:rPr>
          <w:rFonts w:ascii="Arial" w:cs="Arial" w:eastAsia="Arial" w:hAnsi="Arial"/>
          <w:sz w:val="20"/>
          <w:szCs w:val="20"/>
        </w:rPr>
        <w:t xml:space="preserve">● teal = L1 registered  ● blue = L2 verified, K2 delivered  ● amber = L3 fully verified  ○ grey = unknown  ⊘ red = blocked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 — FULL BRIEF INVENTORY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All briefs in /UCCA-Briefs/. Organise into Archive-Deployed/ and Queue-Active/.</w:t>
      </w:r>
    </w:p>
    <w:p>
      <w:r>
        <w:t xml:space="preserve"/>
      </w:r>
    </w:p>
    <w:p>
      <w:pPr>
        <w:pStyle w:val="Heading2"/>
      </w:pPr>
      <w:r>
        <w:t xml:space="preserve">Archive — Deployed, Do Not Re-Hand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IR-Brief-PushNotifications-v3.docx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Phases 1–5 deployed. Phase 6 Expo also deployed.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IR-Brief-ContactFormI18n.docx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All 7 locales confirmed deployed.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UCCA-Brief-SplitBoardBorderRegression.docx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Fixed and confirmed.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OPS-Brief-AppsWorldBlock.docx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All 8 nav items deployed.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Queue Active — Hand In Order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UCCA-Architecture-Principles-v1.docx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Hand to Alex NOW as reference reading. Not a build brief.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COMMS-Brief-A-Foundation-v2.docx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CURRENT — Alex building. user_prefs table first.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COMMS-Brief-B-CommsCentral-v2.docx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BLOCKED — only after Brief A + comms_log receiving real events.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Not Yet Written — In Order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R2 Envelope + Event Sourcing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Dual-write, manifest, scheduled sync Worker, Durable Object serialiser.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User Prefs Settings panel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Timezone picker, theme, layout prefs in ops console.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VCC surface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vcc.ucca.online stub + CF zone + Access + ops world block.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App Store submission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Wait for Apple entity name change ~March 27.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 — KEY CREDENTIALS &amp; CONFIG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🔒 SECURITY: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This document contains operational references. Store securely. Do not share externally.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Firebase — ucca-authenticator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iOS plist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GoogleService-Info.plist → 1Password: Firebase ucca-authenticator GoogleService-Info.plist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Service account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→ 1Password: Firebase ucca-authenticator service account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APNs Key 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BDRMM4PZB6 · Key name: UCCA Authenticator Push · .p8 in 1Password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ucca-api Secrets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APNS_PRIVATE_KEY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Worker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FCM_SERVER_KEY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(empty — FCM not yet active)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PUSH_SECRET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and ucca-keys. Proxied server-side, never exposed to browser.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Twilio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Number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+13023003336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SMS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/api/comms/webhook/twilio/sms — configure in Twilio Console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Voice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/api/comms/webhook/twilio/voice — configure in Twilio Console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Resend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From address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admin@ucca.online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/api/comms/webhook/resend — configure in Resend Dashboard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Meta Business Manager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Tim BM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UCCA.com.au · ID: 293578983324282 · AU entity · ABN 59 168 872 535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Damien BM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UCCA.online · ID: 1138014498027646 · US entity · EIN 84-4522608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TODO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 Tim phone → +61422334489 · upgrade admin@rtopacks to Full · start AU verification · complete Damien BM verification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 — URGENT / TIME SENSITIVE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🔴 March 24 — 11 DAYS: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ucca.com.au (VentraIP) + ucca.asia (Porkbun) expire. Registrant fix needed. ABN 59 168 872 535.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🔴 March 26 — 13 DAYS: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GitHub PAT ucca-engine-push expires. Renew immediately or all pushes fail. Set to All Repositories, auth via macOS Keychain.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🟡 ~March 27: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entity name change resolves (submitted March 13, 14-day window). Check Apple Developer portal. May need App Store Connect update.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🟡 July 1 2026: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ACMA Alphanumeric Sender ID deadline. Register UCCA as sender ID using ABN 59 168 872 535 + USPTO trademark 7,619,705 before this date.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10 — DEFERRED / PARKED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supersededBy 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NULL across all 8,007 quals in engine-db. Derivable by inverting supersedes — no API calls needed. Low priority backfill.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shopucca.com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Parked at Porkbun, auto-renewed $11.08/yr Feb 2026. Decision deferred — park on CF or let lapse next cycle.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AWS Activate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Reapply once ucca.online polished + US entity consistent. Account 485098663204. Check partner org ID for Portfolio tier.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PWA Authenticator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auth.ucca.online — PARKED. Market skews 40+, native app is correct primary path.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TGA SOAP 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Deferred. Current enrichment pipeline sufficient.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View Preferences Widget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RTOpacks v1.1. Dual-persistence localStorage + D1. Parked pending stable UI baseline.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Rules and Regs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rulesandregs.com.au — competitive play against trustdeeds.com.au. Parked. Discussed in separate chat session.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11 — OPERATING RULES FOR CLAUDE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These rules apply in every session: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Context monitoring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10 messages: check conversation length. YELLOW = warn, start handover prep. RED = LIGHTS OUT — stop everything, write Time Machine doc immediately.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Build board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Maintain and update the board in every response during active build sessions. Emoji status: ✅ deployed, 🔄 in progress, 📋 queued, ⚠️ blocked.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Brief drip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One brief at a time. Confirm deployed before next drops. Architecture Principles doc is the exception — hand immediately as reference.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Surface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Alex brief: SURFACE declaration + DO NOT TOUCH list. No exceptions.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UTC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toUserLocal() everywhere. No hardcoded timezones. Ever.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 time alerts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Never tell Tim it's late, he should sleep, or comment on the time. Just keep building.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Truth over comfort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 prefers truth. Say what's wrong clearly. Don't soften technical problems.</w:t>
            </w:r>
          </w:p>
        </w:tc>
      </w:tr>
    </w:tbl>
    <w:p>
      <w:r>
        <w:t xml:space="preserv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300"/>
              <w:left w:type="dxa" w:w="360"/>
              <w:bottom w:type="dxa" w:w="300"/>
              <w:right w:type="dxa" w:w="36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UCCA Time Machine — 13 March 2026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67788"/>
                <w:sz w:val="16"/>
                <w:szCs w:val="16"/>
              </w:rPr>
              <w:t xml:space="preserve">"If you touch, we will know."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000000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EEEEEE" w:sz="1"/>
      </w:pBdr>
      <w:spacing w:after="160" w:before="320"/>
      <w:outlineLvl w:val="1"/>
    </w:pPr>
    <w:rPr>
      <w:rFonts w:ascii="Arial" w:cs="Arial" w:eastAsia="Arial" w:hAnsi="Arial"/>
      <w:b/>
      <w:bCs/>
      <w:color w:val="111111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33333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2026-03-13T13:38:31.284Z</dcterms:created>
  <dcterms:modified xsi:type="dcterms:W3CDTF">2026-03-13T13:38:31.286Z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